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"Zināšanu un inovācijas sabiedrība"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pietiekami pamatota pati likvidācijas nepieciešamība. Audits nav identificējis būtiskus trūkumus SIF finansējuma administrēšanā; tieši pretēji — uzkrātā kompetence konkursu administrēšanā un uzraudzībā ir identificēta kā priekšrocība. Tādēļ būtisks jautājums ir: kādu konkrētu problēmu atrisina SIF likvidācija, kuru nevar atrisināt ar SIF pārvaldības un mandāta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Likvidācija nozīmētu jau izveidotas profesionālās kompetences zaudēšanas risku. SIF ir uzkrāta specializēta pieredze projektu konkursu administrēšanā, vērtēšanā, līgumu uzraudzībā un kontrolē. Sadalot funkcijas starp ministrijām, šī kompetence būtu jāveido no jauna vairākās institūcijās. Tieši kompetences zaudēšana ir viens no darba grupas identificētajiem 4. scenārija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administratīvās izmaksas var pieaugt, nevis samazināties. Ja vienu administrēšanas sistēmu aizstāj vairākas ministriju sistēmas, katrai nepieciešami cilvēkresursi, procedūras, IT risinājumi, projektu uzraudzība un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NVO administratīvais slogs palielinātos. Organizācijām vienotas sistēmas vietā būtu jārēķinās ar dažādu ministriju atšķirīgām prasībām, procedūrām un finansējuma administrēšanas pieejām. Darba grupas materiālā šis risks ir tieši identificēts. Īpaši būtiski tas varētu būt mazām un reģionālām organizācijām ar ierobežotu administratīvo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Brakovska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