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izteikt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Personu var pieņemt darbā tikai vienā akadēmiskā personāla amatā un tikai vienā augstskolā. Augstskolas akadēmiskais personāls var veikt akadēmisko darbu citā augstskolā vai koledžā akadēmiskā viespersonāla amatā. Persona, kas pieņemta darbā akadēmiskā personāla amatā augstskolā, var ieņemt akadēmisko amatu arī  zinātnes universitātes izveidotās ekosistēmas zinātniskajā institūcijā. Nosakot akadēmiskā personāla vai to personu skaitu vai īpatsvaru augstskolā, struktūrvienībā vai studiju programmas īstenošanā, kurām ir doktora grāds, ņem vērā tikai akadēmiskajos amatos pieņemtās darbā personas, izņemot jomas praktiķus un akadēmisko viespersonālu.”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likumprojekta 6.punktā 26.panta septītās daļas pirmo teikumu, kas paredz, ka "personu var pieņemt darbā tikai vienā akadēmiskā personāla amatā un tikai vienā augstskolā". Minētais regulējums, kas paredz, ka personu var pieņemt darbā tikai vienā akadēmiskā personāla amatā un tikai vienā augstskolā, ierobežo docētāju akadēmiskās karjeras izaugsmes iespējas. Uzskatām, ka šajā jautājumā ir jānodrošina visu tipu augstskolām vienota un vienlīdzīga pieeja nodarbinātības regulējumā, neveidojot izņēmumus.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Augstskola ar akadēmiskā personāla amatā pieņemto darbā personu slēdz darba līgumu. Augstskola ar izcilības profesoru, personu akadēmiskā viespersonāla amatā, personu tenūrgaitas amatā un ar pēcdoktorantūras pētnieku slēdz darba līgumu uz noteiktu laiku. Uz tām akadēmiskā personāla amatos pieņemtajām darbā personām, ar kurām noslēgts darba līgums uz noteiktu laiku, neattiecas Darba likuma 45. panta pirmajā daļā noteiktais darba līguma termiņa ierobežojums. Ar akadēmisko personālu studējošo izglītošanai aizliegts slēgt uzņēmuma un autora līgumus. Akadēmisko personālu, kurš nodarbināts uz noteiktu laiku, augstskola informē par turpmākās karjeras iespējām augstskolā ne vēlāk kā sešus mēnešus pirms darba līguma uz noteiktu laiku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likumprojekta 7.punktā  27. panta  piektās daļas ceturto teikumu, kas paredz, ka "ar akadēmisko personālu studējošo izglītošanai aizliegts slēgt uzņēmuma un autora līgumus". Pamatojot iebildumu, skaidrojam, ka  ar autora līgumiem ir saistīts epizodisks darbs, kas  nav iekļauts  pilna laika ekvivalenta (PLE) apjomā, kā arī tas netiek veikts pamata akadēmiskā amata pienākumu ietvaros, tomēr  šis darbs </w:t>
            </w:r>
            <w:r w:rsidR="00000000" w:rsidRPr="00000000" w:rsidDel="00000000">
              <w:rPr>
                <w:i w:val="1"/>
                <w:rtl w:val="0"/>
              </w:rPr>
              <w:t xml:space="preserve">de facto</w:t>
            </w:r>
            <w:r w:rsidR="00000000" w:rsidRPr="00000000" w:rsidDel="00000000">
              <w:rPr>
                <w:rtl w:val="0"/>
              </w:rPr>
              <w:t xml:space="preserve"> pastāv  dažādu  īstermiņa akadēmisku  - pedagoģisku un pētniecisku darbību veikšanai. Uzsveram, ka anotācijā sniegtais skaidrojums, kurā  precizēts aizlieguma piemērošanas tvērums, piemēram, attiecībā uz  kultūras nozares un radošo industriju studiju programmām, ir par šauru.  Praktiskās ievirzes kursus  studiju programmu ietvaros nodrošina nozares profesionāļi, kuru pamatdarbs ir nozarē un kuri  ir darba attiecībās  ar radošo industriju uzņēmumiem vai kultūras organizācijām. Tādējādi liegums slēgt autora līgumus ar nozares profesionāļiem rada riskus, ka var nebūt pilnvērtīgi apgūts studiju programmu saturs un var netikt nodrošināta  saikne ar nozari un darba vidi, kam studiju procesā ir prioritāra nozīme.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16.03.2026.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16.03.2026.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Atzinumi_25-TA-2742.docx</dc:title>
</cp:coreProperties>
</file>

<file path=docProps/custom.xml><?xml version="1.0" encoding="utf-8"?>
<Properties xmlns="http://schemas.openxmlformats.org/officeDocument/2006/custom-properties" xmlns:vt="http://schemas.openxmlformats.org/officeDocument/2006/docPropsVTypes"/>
</file>