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līguma darbības laiku, kas nav īsāks par pieciem gadiem un nepārsniedz 10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pakalpojuma līgumā plānots norādīta 12.3.apakšpunktā minēto darbības laiku, ja pasākuma īstenošanas un ERAF finansējuma attiecināšanas laiks laiks noteikts 31.12.2029.?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27.05.2025.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27.05.2025.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Atzinumi_25-TA-496.docx</dc:title>
</cp:coreProperties>
</file>

<file path=docProps/custom.xml><?xml version="1.0" encoding="utf-8"?>
<Properties xmlns="http://schemas.openxmlformats.org/officeDocument/2006/custom-properties" xmlns:vt="http://schemas.openxmlformats.org/officeDocument/2006/docPropsVTypes"/>
</file>