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kiberincidentu novēršanas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kiberincidentu novēršanas institūcijām (turpmāk – Institūcijas), kuras savus uzdevumus Latvijas Republikā veic atbilstoši Nacionālās kiberdrošības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punktā svītrot norādi "kuras savus uzdevumus Latvijas Republikā veic atbilstoši Nacionālās kiberdrošības likumā noteiktajam", ievērojot Ministru kabineta 2009. gada 3. februāra noteikumu Nr. 108 "Normatīvo aktu projektu sagatavošanas noteikumi" 100.2. apakšpunktā noteikto un to, ka minētā norāde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tās nodrošina savu saziņas kanālu (e-pasts, telefons un citi atbilstoši saziņas kanāli) augstu pieejamības līmeni, izvairoties no situācijām, kad viena kļūme izraisa visu saziņas kanālu darbības pārtraukumu, un tām ir vairāki saziņas kanāli, kas jebkurā laikā ļauj ar tām sazināties un nodrošina saziņu ar citiem. Informācija par Institūciju saziņas kanāliem ir, vai nu publiski pieejama, vai pieejama tām institūcijām un privāto tiesību juridiskajām personām, attiecībā uz kurām Institūcijas veic savus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2.1. apakšpunktā ietverto normu, kas paredz, ka "Informācija par Institūciju saziņas kanāliem ir, vai nu publiski pieejama, vai pieejama tām institūcijām un privāto tiesību juridiskajām personām, attiecībā uz kurām Institūcijas veic savus uzdevumus", ņemot vērā, ka attiecīgajai normai šobrīd nav juridiskas slodzes, turklāt informācijas pieejamības principi ir regulēti Informācijas atklātības likumā, kurā ietvertās prasības nebūtu pieļaujams dublēt noteikumu projektā. Nepieciešamības gadījumā lūdzam noteikumu projektā paredzēt, kāda informācija un kādā veidā ir publicējama, bet kāda - darāma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gadījumos, kad institūcijas sadarbojas ar citām privāto un publisko tiesību juridiskajām personām, tiešās un pastarpinātās pārvaldes iestādēm, atvasinātām publiskajām personām un citām valsts institūcijām, tās pieņem un izmanto vienotu vai standartizētu praksi, klasifikācijas shēmas un taksonomiju attiecībā uz incidentu risināšanas procedūrām, krīžu pārvaldību un koordinētu ievainojamības izpaušanu.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 izpaužas prasība attiecībā uz vienotas vai standartizētas prakses pieņemšanu un izmantošanu. Tostarp nepieciešamības gadījumā, ja no minētās prasības izriet arī obligāto standartu piemērošana, lūdzam atbilstoši papildināt noteikumu projektu ar atsauci uz konkrētiem standartiem, kas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un skaidrot, vai noteikumu projekta 2.9. apakšpunktā minētās prakses, klasifikācijas shēmas un taksonomiju pieņemšana un izmantošana nav jāveicina (proti, no Eiropas Parlamenta un Padomes Direktīvas (ES) 2022/2555 (2022. gada 14. decembris), ar ko paredz pasākumus nolūkā panākt vienādi augstu kiberdrošības līmeni visā Savienībā un ar ko groza Regulu (ES) Nr. 910/2014 un Direktīvu (ES) 2018/1972 un atceļ Direktīvu (ES) 2016/1148 (NIS2 Direktīva) (turpmāk - direktīva Nr. 2022/2555) 11. panta 5. punkta angļu valodas versijas izriet, ka "CSIRTs </w:t>
            </w:r>
            <w:r w:rsidR="00000000" w:rsidRPr="00000000" w:rsidDel="00000000">
              <w:rPr>
                <w:u w:val="single"/>
                <w:rtl w:val="0"/>
              </w:rPr>
              <w:t xml:space="preserve">shall promote</w:t>
            </w:r>
            <w:r w:rsidR="00000000" w:rsidRPr="00000000" w:rsidDel="00000000">
              <w:rPr>
                <w:rtl w:val="0"/>
              </w:rPr>
              <w:t xml:space="preserve"> the adoption and use of common or standardised practices, classification schemes and taxonomies"), nevis šīs darbības jāveic obligāti. Nepieciešamības gadījumā lūdzam attiecīgi precizēt minēto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Institūciju atbilstību šajos noteikumos noteiktajām prasībām ir atbildīgs katras Institūcijas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punktu, jo minētā norma dublē Valsts pārvaldes iekārtas likumā noteikto (sk. 17. panta pirmo daļu), savukārt Latvijas Universitātes Matemātikas un informātikas institūta gadījumā - arī Zinātniskās darbības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salāgot minētajā tabulā ietverto informāciju ar Nacionālā kiberdrošības likuma anotācijā norādīto (pieejama: https://titania.saeima.lv/LIVS14/SaeimaLIVS14.nsf/0/41B59DD808C5CC38C2258AE8002BA7FC?OpenDocument) attiecībā uz direktīvas Nr. 2022/2555 10. un 11. panta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skaidrot direktīvas Nr. 2022/2555 10. panta 2. punkta pārņemšanu noteikumu projekta 2.5. apakšpunktā, ņemot vērā, ka no minētā apakšpunkta neizriet regulējums par atbilstošu resursu pieejamību attiecīgo institūciju uzdevumu izpildei, vai attiecīgi papildināt noteikumu projektu. Papildus nepieciešams arī precizēt informāciju par šīs direktīvas 10. panta 3. punkta pārņemšanu noteikumu projekta 2.7. apakšpunktā (visticamāk domāts, ka minētā punkta prasība pārņemta noteikumu projekta 2.8.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papildināt 1. tabulu ar skaidrojumu par minētās direktīvas 10. panta 9. punkta, 11. panta 2. punkta otrā teikuma pārņemšanu nacionālajā tiesību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Nacionālajam kiberdrošības centram paziņot Eiropas Komisijai par Latvijas Republikas kompetentajām kiberincidentu novēršanas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lēmuma projekta 3. punktu ar norādi uz koordinējošo kiberincidentu novēršanas institūciju, kura ir atbildīga par koordinētu ievainojamību atklāšanu, ievērojot direktīvas Nr. 2022/2555 10. panta 9. punktā un 12. panta 1. punktā noteikto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kiberincidentu novēršanas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projekta stāšanos spēkā, ne ātrāk kā Nacionālās kiberdrošības likuma spēkā stāšanās datumā, proti, 2024. gada 1. septembrī (ievērojot arī šī likuma Pārejas noteikumu 2. punktu), nepieciešamības gadījumā papildinot noteikumu projektu ar attiecīgu pārejas noteikumu (noteikumu projekta spēkā stāšanās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tās ir nodrošinātas ar rezerves informācijas un komunikāciju tehnoloģiju sistēmām un dublētām darba telpām vai iespēju pāriet uz attālinātu darbu, lai nodrošinātu savu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2.7. apakšpunktu un norādi uz dublētām darba telpām aizstāt ar norādi uz papildu vai rezerves darba telpām.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09.08.2024.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09.08.2024.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Atzinumi_24-TA-1718.docx</dc:title>
</cp:coreProperties>
</file>

<file path=docProps/custom.xml><?xml version="1.0" encoding="utf-8"?>
<Properties xmlns="http://schemas.openxmlformats.org/officeDocument/2006/custom-properties" xmlns:vt="http://schemas.openxmlformats.org/officeDocument/2006/docPropsVTypes"/>
</file>