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Enerģētikas un vides aģentūras pievienošanu Valsts vides dienestam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Klimata un enerģētikas ministrijai normatīvajos aktos noteiktajā kārtībā iesniegt Finanšu ministrijā priekšlikumus apropriācijas pārdalei 2025. gadā, kā arī priekšlikumus bāzes izdevumu precizēšanai 2026.‑2029. gadā Klimata un enerģētikas ministrijas ietvaros no budžeta apakšprogrammas 23.02.00 “Enerģētikas un vides aģentūra” uz budžeta apakšprogrammu 23.01.00 “Valsts vides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punktā “Cita informācija” sniegto informāciju, ka Klimata un enerģētikas ministrija sagatavos un iesniegs Finanšu ministrijā priekšlikumus apropriācijas pārdalei 2025. gadā, kā arī priekšlikumus bāzes izdevumu precizēšanai 2026. ‑ 2029. gadā no budžeta apakšprogrammas 23.02.00 “Enerģētikas un vides aģentūra” uz budžeta apakšprogrammu 23.01.00 “Valsts vides dienests” </w:t>
            </w:r>
            <w:r w:rsidR="00000000" w:rsidRPr="00000000" w:rsidDel="00000000">
              <w:rPr>
                <w:u w:val="single"/>
                <w:rtl w:val="0"/>
              </w:rPr>
              <w:t xml:space="preserve">un programmu 97.00.00 "Nozaru vadība un politikas plānošana</w:t>
            </w:r>
            <w:r w:rsidR="00000000" w:rsidRPr="00000000" w:rsidDel="00000000">
              <w:rPr>
                <w:rtl w:val="0"/>
              </w:rPr>
              <w:t xml:space="preserve">", lūdzam attiecīgi precizēt rīkojuma projekta  8.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15. punktā ir norādīts, ka Finanšu ministrijas sniegtais priekšlikums ir ņemts vērā, taču anotācijas 3.sadaļas 6.punktā pirmajās divās rindkopās joprojām ir norādīts nekorekts budžeta apakšprogrammas 23.02.00 nosaukums,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13.08.2025.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13.08.2025.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Atzinumi_25-TA-1300.docx</dc:title>
</cp:coreProperties>
</file>

<file path=docProps/custom.xml><?xml version="1.0" encoding="utf-8"?>
<Properties xmlns="http://schemas.openxmlformats.org/officeDocument/2006/custom-properties" xmlns:vt="http://schemas.openxmlformats.org/officeDocument/2006/docPropsVTypes"/>
</file>