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regulas nosaukumu un izteikt to nominatīvā: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"Komisijas 2016. gada 25. aprīļa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Deleģētajai regulai </w:t>
            </w:r>
            <w:r w:rsidR="00000000" w:rsidRPr="00000000" w:rsidDel="00000000">
              <w:rPr>
                <w:rtl w:val="0"/>
              </w:rPr>
              <w:t xml:space="preserve">(ES) 2017/565, ar ko papildina Eiropas Parlamenta un Padomes Direktīvu 2014/65/ES attiecībā uz ieguldījumu brokeru sabiedrību organizatoriskām prasībām un darbības nosacījumiem un jēdzienu definīcijām minētās direktīvas mērķiem, 32017R0565"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Vizla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B kolonnā norādītos vārdus "Likumprojekts", nomainot tos pareizajā locījumā ("Likumprojekt</w:t>
            </w:r>
            <w:r w:rsidR="00000000" w:rsidRPr="00000000" w:rsidDel="00000000">
              <w:rPr>
                <w:u w:val="single"/>
                <w:rtl w:val="0"/>
              </w:rPr>
              <w:t xml:space="preserve">a</w:t>
            </w:r>
            <w:r w:rsidR="00000000" w:rsidRPr="00000000" w:rsidDel="00000000">
              <w:rPr>
                <w:rtl w:val="0"/>
              </w:rPr>
              <w:t xml:space="preserve">").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Vizla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6.2. Sabiedrības līdzdalības organizēšanas veidi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6.2. sadaļu ar saiti uz sabiedrības līdzdalības rezultātiem.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Vizla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23-TA-360</w:t>
    </w:r>
    <w:r>
      <w:br/>
    </w:r>
    <w:r w:rsidR="00000000" w:rsidRPr="00000000" w:rsidDel="00000000">
      <w:rPr>
        <w:rtl w:val="0"/>
      </w:rPr>
      <w:t xml:space="preserve">Izdrukāts 05.04.2023. 21.16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23-TA-360</w:t>
    </w:r>
    <w:r>
      <w:br/>
    </w:r>
    <w:r w:rsidR="00000000" w:rsidRPr="00000000" w:rsidDel="00000000">
      <w:rPr>
        <w:rtl w:val="0"/>
      </w:rPr>
      <w:t xml:space="preserve">Izdrukāts 05.04.2023. 21.16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