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Covid-19 infekcijas izplatības  pārvaldības likuma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līdz 2023. gada 31. decembrim pieņem grozījumus Ministru kabineta 2010. gada 30. novembra noteikumos Nr. 1082 “Kārtība, kādā piesakāmas A, B un C kategorijas piesārņojošas darbības un izsniedzamas atļaujas A un B kategorijas piesārņojošo darbību veikšanai”, Ministru kabineta 2016. gada 1. marta noteikumos Nr. 131 “Rūpniecisko avāriju riska novērtēšanas kārtība un riska samazināšanas pasākumi”, Ministru kabineta 2015.gada 13.janvāra noteikumos Nr.18 "Kārtība, kādā novērtē paredzētās darbības ietekmi uz vidi un akceptē paredzēto darbību” un Ministru kabineta 2004.gada 23.marta noteikumos Nr. 157 “Kārtība, kādā veicams ietekmes uz vidi stratēģiskais novērtējums”  un Ministra kabineta  2011. gada 19. aprīļa  noteikumos Nr.300 “Kārtība, kādā novērtējama ietekme uz Eiropas nozīmes īpaši aizsargājamo dabas teritoriju (Natura 2000)”,  kas nepieciešami, lai nodrošinātu publiskās apspriešanas organizēšanu gan klātienes, gan neklātienes (tiešsaistes) formā sākot ar 2024.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Redakcionāls precizējums.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līdz 2023. gada 31. decembrim pieņem grozījumus Ministru kabineta 2010. gada 30. novembra noteikumos Nr. 1082 “Kārtība, kādā piesakāmas A, B un C kategorijas piesārņojošas darbības un izsniedzamas atļaujas A un B kategorijas piesārņojošo darbību veikšanai”, Ministru kabineta 2016. gada 1. marta noteikumos Nr. 131 “Rūpniecisko avāriju riska novērtēšanas kārtība un riska samazināšanas pasākumi”, Ministru kabineta 2015.gada 13.janvāra noteikumos Nr.18 "Kārtība, kādā novērtē paredzētās darbības ietekmi uz vidi un akceptē paredzēto darbību”</w:t>
            </w:r>
            <w:r w:rsidR="00000000" w:rsidRPr="00000000" w:rsidDel="00000000">
              <w:rPr>
                <w:shd w:fill="#e67e22" w:val="clear"/>
                <w:rtl w:val="0"/>
              </w:rPr>
              <w:t xml:space="preserve">, </w:t>
            </w:r>
            <w:r w:rsidR="00000000" w:rsidRPr="00000000" w:rsidDel="00000000">
              <w:rPr>
                <w:strike w:val="1"/>
                <w:shd w:fill="#e67e22" w:val="clear"/>
                <w:rtl w:val="0"/>
              </w:rPr>
              <w:t xml:space="preserve">un </w:t>
            </w:r>
            <w:r w:rsidR="00000000" w:rsidRPr="00000000" w:rsidDel="00000000">
              <w:rPr>
                <w:rtl w:val="0"/>
              </w:rPr>
              <w:t xml:space="preserve">Ministru kabineta 2004.gada 23.marta noteikumos Nr. 157 “Kārtība, kādā veicams ietekmes uz vidi stratēģiskais novērtējums”  un Ministra kabineta  2011. gada 19. aprīļa  noteikumos Nr.300 “Kārtība, kādā novērtējama ietekme uz Eiropas nozīmes īpaši aizsargājamo dabas teritoriju (Natura 2000)”,  kas nepieciešami, lai nodrošinātu publiskās apspriešanas organizēšanu gan klātienes, gan neklātienes (tiešsaistes) formā sākot ar 2024.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Šišuļins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23-TA-1390</w:t>
    </w:r>
    <w:r>
      <w:br/>
    </w:r>
    <w:r w:rsidR="00000000" w:rsidRPr="00000000" w:rsidDel="00000000">
      <w:rPr>
        <w:rtl w:val="0"/>
      </w:rPr>
      <w:t xml:space="preserve">Izdrukāts 14.06.2023.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23-TA-1390</w:t>
    </w:r>
    <w:r>
      <w:br/>
    </w:r>
    <w:r w:rsidR="00000000" w:rsidRPr="00000000" w:rsidDel="00000000">
      <w:rPr>
        <w:rtl w:val="0"/>
      </w:rPr>
      <w:t xml:space="preserve">Izdrukāts 14.06.2023.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Atzinumi_23-TA-1390.docx</dc:title>
</cp:coreProperties>
</file>

<file path=docProps/custom.xml><?xml version="1.0" encoding="utf-8"?>
<Properties xmlns="http://schemas.openxmlformats.org/officeDocument/2006/custom-properties" xmlns:vt="http://schemas.openxmlformats.org/officeDocument/2006/docPropsVTypes"/>
</file>