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19. jūnija noteikumos Nr. 350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aizsardzības un reģionālās attīstības ministrija lūdz svītrot 1.33. apakšpunktu un Ministru kabineta 2018. gada 19. jūnija noteikumu Nr. 350 “Publiskas personas zemes nomas un apbūves tiesības noteikumi” 29.6. apakšpunktu. Vēršam uzmanību, ka lemjot par publiskās lietas izmantošanu vai nodošanu sevišķai lietošanai, pašvaldība rīkojas publisko tiesību jomā. Pašvaldības pieņemtais lēmums par publiskās lietas izmantošanu vai nodošanu sevišķai lietošanu ir administratīvais akts. Savukārt administratīvā akta alternatīva ir publisko tiesību līgums, tas ir, administratīvais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 lūdz svītrot 1.41. apakšpunktu, jo Ministru kabineta 2018. gada 19. jūnija noteikumos Nr. 350 “Publiskas personas zemes nomas un apbūves tiesības noteikumi” nav pamatoti ietvert normu, kas norāda uz Komercdarbības atbalsta kontroles likuma regulējumu vai regulē nelikumīga komercdarbības atbalsta atgūšanas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03.11.2023.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03.11.2023.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Atzinumi_23-TA-223.docx</dc:title>
</cp:coreProperties>
</file>

<file path=docProps/custom.xml><?xml version="1.0" encoding="utf-8"?>
<Properties xmlns="http://schemas.openxmlformats.org/officeDocument/2006/custom-properties" xmlns:vt="http://schemas.openxmlformats.org/officeDocument/2006/docPropsVTypes"/>
</file>