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3.4. informācija par būves apdrošināšanu, tai skaitā norādot apdrošinātāju, apdrošināšanas objektu un apdrošināšanas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šajā apakšpunktā vārdus "tai skaitā norādot apdrošinātāju, apdrošināšanas objektu un apdrošināšanas termiņu", jo šī informācija ir mainīga un tās ievadīšana un aktualizēšana iestādēm ar lielu būvju skaitu (IeM valdījumā vien atrodas 607 būves) radītu nesamērīgi lielu administratīvo slogu, turklāt nav arī skaidrs, kādam mērķim šāda informācija tiks uzkrāta.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3.5. informācija par valsts iestādes (ja biroja funkcijām tā lieto vismaz 50 procentus no nekustamā īpašuma sastāvā esošās vismaz vienas ēkas vai vismaz 200 m</w:t>
            </w:r>
            <w:r w:rsidR="00000000" w:rsidRPr="00000000" w:rsidDel="00000000">
              <w:rPr>
                <w:vertAlign w:val="superscript"/>
                <w:rtl w:val="0"/>
              </w:rPr>
              <w:t xml:space="preserve">2</w:t>
            </w:r>
            <w:r w:rsidR="00000000" w:rsidRPr="00000000" w:rsidDel="00000000">
              <w:rPr>
                <w:rtl w:val="0"/>
              </w:rPr>
              <w:t xml:space="preserve"> no nekustamā īpašuma sastāvā esošajām ēkām) faktiskajiem iepriekšējā kalendāra gada ieņēmumiem un izdevumiem, kas saistīti ar nekustamā īpašuma vai tā daļas lietošanu (nomas maksas un ar lietošanu saistīto maksājumu izdevumi, nomas (apakšnomas) ieņēmumi, apsaimniekošanas izdevumi, nekustamā īpašuma nodoklis, apdrošināšanas izdevumi, komunālo pakalpojumu izdevumi, remontdarbu un būvdarbu izdevumi, valsts iestādē (katrā tās lietotajā ēkā) darba tiesiskajās attiecībās esošo darbinieku skaits katra kalendāra gada pēdējā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darba tiesiskajās attiecībās atrodas tikai tie valsts iestādēs nodarbinātie, uz kuriem attiecināmas Darba likuma normas. Uz Iekšlietu ministrijas padotībā esošajām iestādēm - Iekšējās drošības biroju, Valsts policiju, Valsts robežsardzi, Valsts ugunsdzēsības un glābšanas dienestu, kā arī šo iestāžu padotībā esošajām koledžām attiecināms Iekšlietu ministrijas sistēmas iestāžu un Ieslodzījuma vietu pārvaldes amatpersonu ar speciālajām dienesta pakāpēm dienesta gaitas likums. Ievērojot minēto, attiecīgi precizēt konkrēto projekta punktu vai arī sniegt skaidrojumu projekta anotācijā, lai būtu nepārprotami skaidrs, kas ir saprotams ar vārdiem "darba tiesiskajās attiecībās esošo darbinieku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4</w:t>
            </w:r>
            <w:r w:rsidR="00000000" w:rsidRPr="00000000" w:rsidDel="00000000">
              <w:rPr>
                <w:rtl w:val="0"/>
              </w:rPr>
              <w:t xml:space="preserve"> Valdītājs vai, ja šo noteikumu </w:t>
            </w:r>
            <w:r w:rsidR="00000000" w:rsidRPr="00000000" w:rsidDel="00000000">
              <w:rPr>
                <w:rtl w:val="0"/>
              </w:rPr>
              <w:t xml:space="preserve">4.12.</w:t>
            </w:r>
            <w:r w:rsidR="00000000" w:rsidRPr="00000000" w:rsidDel="00000000">
              <w:rPr>
                <w:rtl w:val="0"/>
              </w:rPr>
              <w:t xml:space="preserve"> apakšpunktā minētā pārvaldīšanas darbība uzdota pārvaldītājam vai pilnvarotajam pārvaldītājam, attiecīgi valdītājs, pārvaldītājs vai pilnvarotais pārvaldītājs ievada un aktualizē šo noteikumu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3.1.</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3.2.</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3.3.</w:t>
            </w:r>
            <w:r w:rsidR="00000000" w:rsidRPr="00000000" w:rsidDel="00000000">
              <w:rPr>
                <w:rtl w:val="0"/>
              </w:rPr>
              <w:t xml:space="preserve"> un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rtl w:val="0"/>
              </w:rPr>
              <w:t xml:space="preserve"> apakšpunktā minēto informāciju Valsts nekustamā īpašuma informācijas sistēmā, kā arī pārrauga šo noteikumu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 un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rtl w:val="0"/>
              </w:rPr>
              <w:t xml:space="preserve"> apakšpunktā minētās informācijas atbilstību esošajai situācijai. Valsts iestāde, kas lieto nekustamo īpašumu vai tā daļu, ievada un aktualizē šo noteikumu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3.5.</w:t>
            </w:r>
            <w:r w:rsidR="00000000" w:rsidRPr="00000000" w:rsidDel="00000000">
              <w:rPr>
                <w:rtl w:val="0"/>
              </w:rPr>
              <w:t xml:space="preserve"> un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rtl w:val="0"/>
              </w:rPr>
              <w:t xml:space="preserve"> apakšpunktā minēto informāciju Valsts nekustamā īpašuma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attiecīgajā punktā skaitli "20.</w:t>
            </w:r>
            <w:r w:rsidR="00000000" w:rsidRPr="00000000" w:rsidDel="00000000">
              <w:rPr>
                <w:vertAlign w:val="superscript"/>
                <w:rtl w:val="0"/>
              </w:rPr>
              <w:t xml:space="preserve">1</w:t>
            </w:r>
            <w:r w:rsidR="00000000" w:rsidRPr="00000000" w:rsidDel="00000000">
              <w:rPr>
                <w:rtl w:val="0"/>
              </w:rPr>
              <w:t xml:space="preserve"> 3.5.", jo valsts iestāžu rīcībā, kurām nekustamais īpašums nodots lietošanā, jo īpaši gadījumā, ja nekustamais īpašums nodots lietošanā ministrijas padotībā esošajām iestādēm, nav informācijas par faktiskajiem iepriekšējā kalendāra gada un plānotajiem kārtējā kalendāra gada nekustamā īpašuma pārvaldīšanas ieņēmumiem un izdevumiem (nomas maksas un ar lietošanu saistīto maksājumu izdevumi, nomas (apakšnomas) ieņēmumi, apsaimniekošanas izdevumi, nekustamā īpašuma nodoklis, apdrošināšanas izdevumi, komunālo pakalpojumu izdevumi, uzkrājumi plānotajiem remontdarbiem un būvdarbiem, remontdarbu un būvdarbu izdevumi). Šī informācija ir pieejama tikai nekustamā īpašuma pārvaldniekam, līdz ar to tām nebūs iespējams ievadīt attiecīgo informāciju Valsts nekustamā īpašuma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Lai nodrošinātu vienotu un sistematizētu informācijas apkopošanu un aktualizēšanu par valsts nekustamo īpašumu pārvaldīšanu un valsts iestāžu lietotajiem nekustamajiem īpašumiem, Valsts nekustamā īpašuma informācijas sistēmā nekustamā īpašuma profilā tiek norādīta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attiecīgo noteikumu punktu ar jaunu apakšpunktu, kas ietvertu valsts iestāžu pienākumu Valsts nekustamā īpašuma informācijas sistēmā norādīt arī informāciju, kas attiecas uz energoefektivitātes pasākumu īstenošanu, lai nodrošinātu, ka valsts rīcībā ir pilna informācija par to, cik no valsts īpašumā esošajām ēkām ir siltinātas un atbilst energoefektivitātes prasībām. Tāpat aicinām izvērtēt nepieciešamību uzkrāt informāciju arī par valsts nekustamajos īpašumos ierīkotajām elektrouzlādes vietām, lai valsts rīcībā būtu informācija par elektrouzlādes tīkla pārklājumu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