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Stratēģiskas nozīmes preču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nacionālās drošības preces</w:t>
            </w:r>
            <w:r w:rsidR="00000000" w:rsidRPr="00000000" w:rsidDel="00000000">
              <w:rPr>
                <w:rtl w:val="0"/>
              </w:rPr>
              <w:t xml:space="preserve"> - sistēmas, iekārtas, to sastāvdaļas, materiāli, ķīmiskās vielas, priekšmeti, programmatūras, tehnoloģijas un pakalpojumi, kas ietverti nacionālās drošības preču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pamatotu skaidrojumu, kāpēc tiek veidota jauna preču grupa - "nacionālās drošības preces", nevis precizēta esošā stratēģiskās nozīmes preču definīcija, neveidojot jaunu preču grupu.  Turklāt vēršam uzmanību, ka termins "nacionālā drošība" saskaņā ar Nacionālās drošības likumu ir ļoti plašs un attiecīgi ar to var faktiski saprast jebkuru preci. Anotācijā nav skaidrots, kādēļ risinājums netiek veidots caur nacionālajām sankcijām, ja mērķis ir aizliegt tādu preču apriti, par kurām Eiropas Savienības līmenī nevar vienoties par iekļaušanu sankcionēto preču sarakstā. Ja attiecīgu skaidrojumu nav iespējams sniegt, lūdzam precizēt likumprojektu vai to tālāk nevirzīt.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Valsts ieņēmumu dienests, veicot muitas kontroli, aptur preču izlaišanu un, izmantojot elektronisko pastu, nosūta minētos dokumentus stratēģiskas nozīmes un nacionālās drošības preču identifikācijas speciālistam. Stratēģiskas nozīmes un nacionālās drošības preču identifikācijas speciālists pēc minēto dokumentu saņemšanas vienas darbdienas laikā veic darījuma pārbaudi un paziņo Valsts ieņēmumu dienestam par lēmumu atļaut izlaist preces tranzīta procedūrā vai par nepieciešamību veikt preču papildu pārbaudi, vai par nepieciešamību nosūtīt preces atpakaļ uz eksportētājvalsti.";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nacionālās drošības preces nav likuma 4. panta (arī 3. panta un vairāku citu normu) priekšmets, jo tas attiecas vienīgi uz stratēģiskas nozīmes precēm, aicinām izvērtēt, vai likumprojekts “Grozījumi Stratēģiskas nozīmes preču aprites likumā” (turpmāk – likumprojekts) nav papildināms ar regulējumu attiecībā uz nacionālās drošības precēm, jo no likumprojekta iespējams secināt, ka daļēja ierobežojuma gadījumā šo preču eksportam, tranzītam vai importam var būt nepieciešama licence (savādāk no likumprojekta neizriet, kā tiek īstenots minētais ierobežojums). Līdzīgi lūdzam nepieciešamības gadījumā precizēt citas likuma vienības, to attiecinot arī uz nacionālās drošības precēm (piem., II nodaļas nosaukumu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likumprojektu, kas paredz speciālu spēkā stāšanās termiņu, kā arī sniegt pamatojumu likumprojektā noteiktajam tā spēkā stāšanās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lai ieviestu nacionālās drošības preču sarakstu, nepieciešams izstrādāt jaunus Ministru kabineta noteikumus, kuros tiks uzskaitītas nacionālās drošības preces un tām piemērojamie aizliegumi. Saistībā ar minēto vēršam uzmanību, ka šobrīd likumprojektā Ministru kabinets faktiski ir pilnvarots vienīgi apstiprināt attiecīgo preču sarakstu, nevis noteikt piemērojamos aizliegumus, tādēļ lūdzam precizēt likumprojektu vai likumprojekta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5. sadaļu papildināt ar skaidrojumu par Eiropas Parlamenta un Padomes 2021. gada 20. maija Regulas (ES) Nr. 2021/821, ar ko izveido Savienības režīmu divējāda lietojuma preču eksporta, starpniecības, tehniskās palīdzības, tranzīta un pārvadājumu kontrolei (turpmāk - regula Nr. 2021/821) 9. panta ieviešanu vai likumprojekta atbilstību minētajai regulai un brīvas preču aprites principam (Līguma par Eiropas Savienības darbību 34.-36. pantam), ja likumprojekts aptver arī preces un darbības ar tām, kas nav minētās regulas darbības jomā.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 atbilstoši Eiropas Komisijas norādēm minētās regulas 9. panta 1. punkts nedod tiesības dalībvalstīm ierobežot tādu preču eksportu, kas būtu nepieciešama tikai un vienīgi nacionālās drošības apsvērumos un tas jāpiemēro tikai gadījumos, ja preces pēc tehniskajiem parametriem ir līdzvērtīgas regulas I pielikumā minētajām precēm. Ņemot vērā norādīto, aicinām konkretizēt juridisko dokumentu (avotu), kur Eiropas Komisijas skaidrojusi minēto izņēmumu, kā arī lūdzam skaidrot, vai no minētā izriet, ka likumprojektā ietvertais regulējums atbilst minētajā regulas vienībā noteiktajam. Šādā gadījumā nepieciešams izvērsti skaidrot regulā ietvertās rīcības brīvības izmantošanu likumprojektā (tostarp, kā rīcības brīvība izmantota un apsvērumus, kādēļ tā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regulas Nr. 2021/821 9. panta 1. punkts paredz, ka dalībvalsts, pamatojoties uz sabiedriskās drošības vai cilvēktiesību apsvērumiem, tostarp terorisma aktu novēršanas nolūkā, var aizliegt I pielikumā neminētu divējāda lietojuma preču eksportu vai izvirzīt prasību saņemt eksporta atļauju, kas var izpausties arī kā nacionālais saraksts. Saistībā ar minēto vēršam uzmanību, ka minētā regula paredz aizliegumu vienīgi attiecībā uz eksportu, nevis importu, tranzītu un pārvietošanu, tādēļ lūdzam sniegt skaidrojumu par minēto likumprojekta anotācijā, nepieciešamības gadījumā precizējot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stratēģiskas nozīmes un nacionālās drošības preču darījuma starpnieks</w:t>
            </w:r>
            <w:r w:rsidR="00000000" w:rsidRPr="00000000" w:rsidDel="00000000">
              <w:rPr>
                <w:rtl w:val="0"/>
              </w:rPr>
              <w:t xml:space="preserve"> — fiziskā vai juridiskā persona, komercreģistrā reģistrēts komersants vai ārvalstī Latvijas Republikas pilsoņa vai pastāvīgā iedzīvotāja reģistrēta komercsabiedrība vai uzņēmums, kas veic stratēģiskas vai nacionālas drošības preču starpniecības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likumprojektu, tostarp izslēdzot termina "stratēģiskas nozīmes un nacionālās drošības preču darījuma starpnieks" (arī termina - "stratēģiskas nozīmes preču un nacionālās drošības preču starpniecības pakalpojums") skaidrojumu. Vēršam uzmanību, ka likumprojektā skaidrojami vienīgi termini, kuri likumprojekta (likuma) pamattekstā tiek lietoti vismaz vienu reizi. Nepieciešamības gadījumā lūdzam likumprojektā atrunāt atbilstošus terminu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Nacionālās drošības preču sarakstu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un vārdu "nosaka" aizstāt ar vārdu "apstiprina". Līdzīgi aicinām precizēt likuma 3.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2</w:t>
            </w:r>
            <w:r w:rsidR="00000000" w:rsidRPr="00000000" w:rsidDel="00000000">
              <w:rPr>
                <w:b w:val="1"/>
                <w:rtl w:val="0"/>
              </w:rPr>
              <w:t xml:space="preserve"> pants. Nacionālās drošības preču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drošības preču saraksts tiek papildināts ar tādām precēm, kuru eksports, tranzīts vai imports uz vai no konkrētām valstīm var apdraudēt nacionālo drošību un kuru eksports, tranzīts vai imports ir ierobežojams vai pilnībā aizliedzams nacionālās drošības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preču sarakstu papildina komiteja pēc tādu valsts iestāžu pieprasījuma, kas saistītas ar nacionālās drošības preču aprites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Iesniedzot komitejā pieprasījumu preču iekļaušanai nacionālās drošības preču sarakstā, pieprasījumā ir jānorāda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kombinētās nomenklatūras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 atbilstoši kombinētai nomenklatūrai;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norāde, vai sarakstā ir iekļaujamas visas preces atbilstoši kombinētās nomenklatūras kodam vai arī tikai tās preces, kas atbilst konkrētiem tehniskiem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pamatojums, kādēļ preču eksports, tranzīts vai imports ir apdraudējums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norāde, uz vai no kurām valstīm preču eksports, tranzīts vai imports būtu pilnībā aizliedzams vai daļēji ierobežojams.".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jauns un pietiekami izvērsts regulējums par nacionālās drošības precēm, kas Stratēģiskas nozīmes preču aprites likumā (turpmāk – likums) tiek veidots paralēli regulējumam par stratēģiskas nozīmes precēm. Tādējādi likumprojektā piedāvājam veidot nepārprotamu regulējumu arī par nacionālās drošības preču aprites tiesiskuma pārbaudi, proti, iekļaut likumā regulējumu vai atsauci par Administratīvā procesa likumā paredzēto valsts pārvaldes lēmumu apstrīdēšanas un pārsūdzēšanas kārtību, līdzīgi, kā tas šobrīd ir likuma 5. un 19. pantā par lēmumiem par stratēģiskas nozīmes precēm.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preces ir komplicētas ķīmiskas vielas, tehnoloģijas, programmatūras, materiāli vai iekārtas, kuras pēc preces apraksta, saskaņā ar kombinēto nomenklatūru, paredzētā lietojuma vai citām pazīmēm varētu būt stratēģiskas nozīmes vai nacionālās drošības preces, komitejas norīkotie stratēģiskas nozīmes un nacionālās drošības preču identifikācijas speciālisti 30 darbdienu laikā pēc stratēģiskas nozīmes vai nacionālās drošības preču aprites subjekta pieprasījuma saņemšanas nosaka, vai tās ir vai nav stratēģiskas nozīmes vai nacionālās drošības preces. Ja nepieciešama preču ekspertīze, šo termiņu var pagarināt, pamatojoties uz komitejas lēmumu. Ja tiek noskaidrots, ka attiecīgā prece nav stratēģiskas nozīmes vai nacionālās drošības prece, komiteja izsniedz stratēģiskas nozīmes preču aprites subjektam attiecīgu izziņu.";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pēc vārdiem "stratēģiskas nozīmes" (vietā, kur šie vārdi lietoti pēdējoreiz) nav jāpapildina ar vārdiem "vai nacionālās drošības".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paredzēts Ministru kabinetam noteikt nacionālās drošības preču sarakstu, proti, regulējumu, kas skar privātpersonas un būs ietverams Ministru kabineta noteikumos, lūdzam likumprojekta anotācijas 4. sadaļā aprakstīt jauno Ministru kabineta noteikumu saturisko ietvaru (būtību), tādējādi nodrošinot, ka vēlāk, izstrādājot Ministru kabineta noteikumu projektu, nepieciešamās lietas ir iespējams iekļaut projektā, jo to paredz deleģējuma saturiskais tvērums, kā arī deleģējumu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25-TA-1261</w:t>
    </w:r>
    <w:r>
      <w:br/>
    </w:r>
    <w:r w:rsidR="00000000" w:rsidRPr="00000000" w:rsidDel="00000000">
      <w:rPr>
        <w:rtl w:val="0"/>
      </w:rPr>
      <w:t xml:space="preserve">Izdrukāts 31.07.2025.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25-TA-1261</w:t>
    </w:r>
    <w:r>
      <w:br/>
    </w:r>
    <w:r w:rsidR="00000000" w:rsidRPr="00000000" w:rsidDel="00000000">
      <w:rPr>
        <w:rtl w:val="0"/>
      </w:rPr>
      <w:t xml:space="preserve">Izdrukāts 31.07.2025.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Atzinumi_25-TA-1261.docx</dc:title>
</cp:coreProperties>
</file>

<file path=docProps/custom.xml><?xml version="1.0" encoding="utf-8"?>
<Properties xmlns="http://schemas.openxmlformats.org/officeDocument/2006/custom-properties" xmlns:vt="http://schemas.openxmlformats.org/officeDocument/2006/docPropsVTypes"/>
</file>