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24-TA-781: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mediju politikas pamatnostādnes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attiecībā uz Mākslīgā intelekta aktu. Pamatnostādņu 11. lpp minēts, ka Mākslīgā intelekta akts šobrīd tiek skatīts Eiropas Savienības likumdošanas procedūras ietvaros. Tieslietu ministrija vērš uzmanību, ka Mākslīgā intelekta akts ir stājies spēkā 2024. gada 1. augustā un tas būs pilnībā piemērojams divus gadus vēlāk (ar izņēmumiem).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Ziemane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27.08.2024.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27.08.2024.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Atzinumi_24-TA-781.docx</dc:title>
</cp:coreProperties>
</file>

<file path=docProps/custom.xml><?xml version="1.0" encoding="utf-8"?>
<Properties xmlns="http://schemas.openxmlformats.org/officeDocument/2006/custom-properties" xmlns:vt="http://schemas.openxmlformats.org/officeDocument/2006/docPropsVTypes"/>
</file>