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komersanti sniedz informāciju par naftas produktu mazumtirdzniecības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Būvniecības valsts kontroles birojs, pamatojoties komersantu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sniegto informāciju, līdz katras nedēļas otrdienas plkst. 12:00 Latvijas vidējo naftas produktu mazumtirdzniecības cenu ievada Eiropas Komisijas uzturētajā tiešsaistes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 punktā paredzēto, ka komersanti nesniedz attiecīgu informāciju, ja pirmdiena ir likumā noteiktā svētku diena, lūdzam anotācijā izvērstāk skaidrot, kā minētajā gadījumā paredzēts izpildīt projekta 9. punktu, kas paredz, ka Būvniecības valsts kontroles birojs, </w:t>
            </w:r>
            <w:r w:rsidR="00000000" w:rsidRPr="00000000" w:rsidDel="00000000">
              <w:rPr>
                <w:u w:val="single"/>
                <w:rtl w:val="0"/>
              </w:rPr>
              <w:t xml:space="preserve">pamatojoties uz komersantu sniegto informāciju</w:t>
            </w:r>
            <w:r w:rsidR="00000000" w:rsidRPr="00000000" w:rsidDel="00000000">
              <w:rPr>
                <w:rtl w:val="0"/>
              </w:rPr>
              <w:t xml:space="preserve">, līdz katras nedēļas otrdienas plkst. 12:00 Latvijas vidējo naftas produktu mazumtirdzniecības cenu ievada Eiropas Komisijas uzturētajā tiešsaistes platformā. Nepieciešamības gadījumā lūdzam precizēt projektu. Aicinām arī izvērtēt un skaidrot 9. punkta piemērošanu un informācijas sniegšanu Komisijai gadījumā, ja pirmdiena un otrdiena ir likumā noteiktā svētku diena, un nepieciešamības gadījumā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šajos noteikumos noteiktajā kārtībā sāk sniegt 30 dienu laikā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minētās elektroniskās vēstules (paziņojuma)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ietverta norāde, ka informācijas sniegšanas pienākums komersantiem ir beztermiņa. Vēršam uzmanību, ka šāds apgalvojums nav saprotams un nešķiet pamatots, ņemot vērā, ka komersantam pienākums ir sniegt informāciju tad, ja tas atbilst noteikumu projektā paredzētajiem nosacījumiem (tostarp, piemēram, 4. punktā minētajam nosacījumam, ka komersanta mazumtirdzniecībā pārdotais naftas produktu apjoms iepriekšējā kalendāra gadā pārsniedz noteiktus apjomus). Saistībā ar minēto arī norādām, ka no projekta vai anotācijas nav skaidrs, līdz kuram brīdim komersants attiecīgu informāciju sniedz. Attiecīgi lūdzam izvērtēt un nepieciešamības gadījumā precizēt projektu,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2023. gadu iesniedz Būvniecības valsts kontroles birojam 30 dienu laikā pēc šo noteikumu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11. punktā ietvertā norāde uz "informāciju </w:t>
            </w:r>
            <w:r w:rsidR="00000000" w:rsidRPr="00000000" w:rsidDel="00000000">
              <w:rPr>
                <w:u w:val="single"/>
                <w:rtl w:val="0"/>
              </w:rPr>
              <w:t xml:space="preserve">par</w:t>
            </w:r>
            <w:r w:rsidR="00000000" w:rsidRPr="00000000" w:rsidDel="00000000">
              <w:rPr>
                <w:rtl w:val="0"/>
              </w:rPr>
              <w:t xml:space="preserve"> 2023. gadu" ir neprecīza, jo projekta 4. punktā turklāt ir atsauce uz iepriekšējo kalendāro gadu. Attiecīgi lūdzam precizēt projekta 11. punktu (piemēram, norādot uz informācijas sniegšanu 2023.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9. punktā ietverto skaidrojumu par to, kādēļ projektā paredzēta informācijas sniegšana tikai katras nedēļas pirmdienā un ne arī katra mēneša piecpadsmitajā datumā (kontekstā ar Padomes 1999. gada 22. aprīļa lēmuma 1999/280/EK par Kopienas procedūru informēšanai un konsultēšanai par jēlnaftas piegādes izmaksām un naftas produktu patēriņa cenām (turpmāk - Lēmums 1999/280/EK) 3. panta 1. punkta "b" apakšpunktu, kā arī Komisijas 1999. gada 26. jūlija lēmuma Nr. 1999/566/EK, ar ko īsteno Padomes lēmumu 1999/280/EK par Kopienas procedūru informēšanai un konsultēšanai par jēlnaftas piegādes izmaksām un naftas produktu patēriņa cenām pielikuma 2. punktu), ietvert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5.sadaļas 1. tabulā jānorāda projekta vienība, kas pārņem vai ievieš Eiropas Savienības tiesību akta normu. Attiecīgi lūdzam svītrot norādi uz to, ka Lēmuma 1999/280/EK 6. pants ieviests anotācijā, nepieciešamības gadījumā ietverot attiecīgu skaidrojumu par pārņemšanu turpat tabulā. Turklāt norādām, ka anotācijā, šķiet, nav informācijas par minētās vienības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informāciju par naftas produktu mazumtirdzniecības cenām sniedz elektroniski Energoresursu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"elektroniski" projekta 2. punktā, ņemot vērā, ka energoresursu informācijas sistēmā darbības notiek elektroniskajā vidē. Līdzīgi aicinām svītrot vārdu "elektronisko" arī projekta 6. un 10.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projekta 6. punktā lietot pilno "e-adreses" nosaukumu (proti, oficiālā elektroniskā adrese" saskaņā ar Oficiālās elektroniskās adreses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par pašreizējo normatīvo regulējumu un plānotajām normatīvā regulējuma izmaiņām attiecībā uz energoresursu informācijas sistēmu un tajā uzkrājamo informāciju. Attiecībā uz norādi, ka citos likumprojektos plānots ietvert Energoefektivitātes likuma 15. panta pirmajai daļai līdzvērtīgus pilnvarojumus Ministru kabinetam izdot attiecīgus noteikumus norādām, ka saskaņā ar Ministru kabineta 2009.gada 3.februāra noteikumu Nr.108 3.2. apakšpunktu normatīvā akta projektā neietver citstarp normas, kas dublē augstāka vai tāda paša spēka normatīvā akta tiesību normās ietverto normatīvo regulējumu. Attiecīgi aicinām izvērtēt plānotās izmaiņas un to atbilstību minētajai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anotācijā minēto informāciju ("</w:t>
            </w:r>
            <w:r w:rsidR="00000000" w:rsidRPr="00000000" w:rsidDel="00000000">
              <w:rPr>
                <w:i w:val="1"/>
                <w:rtl w:val="0"/>
              </w:rPr>
              <w:t xml:space="preserve">Vienlaikus likumprojekts "Grozījumi Enerģētikas likumā" (21-TA-1563, šobrīd starpministriju saskaņošanā) precizē šajā pantā iekļauto deleģējumu, nosakot, ka Ministru kabinets noteic kārtību, kādā komersanti sniedz informāciju par naftas produktu mazumtirdzniecības cenām ERIS</w:t>
            </w:r>
            <w:r w:rsidR="00000000" w:rsidRPr="00000000" w:rsidDel="00000000">
              <w:rPr>
                <w:rtl w:val="0"/>
              </w:rPr>
              <w:t xml:space="preserve">.") aicinām izvērtēt nepieciešamību veikt izmaiņas pilnvarojuma normā tikai ar mērķi ietvert norādi, ka informāciju sniedz energoresursu informācijas sistēmā, jo pilnvarojums jau ietver tiesības noteikt kārtību, kādā sniedz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anotācijas 1.3. sadaļā minētajām Komisijas 2013. gada Enerģētikas ģenerāldirektorāta brīvprātīgajām pamatnostādnēm ietvert arī anotācijas 5.3. sadaļā. Aicinām arī izveidot un lietot konsekventu saīsinājumu, jo anotācijā un izziņā lietoti dažādi vārdi "ieteikums", "pamatnostādnes", "vadlīnijas" u.tml., attiecīgi nav pilnīgas pārliecības, ka ar to ir domāts viens un tas pats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w:t>
    </w:r>
    <w:r>
      <w:br/>
    </w:r>
    <w:r w:rsidR="00000000" w:rsidRPr="00000000" w:rsidDel="00000000">
      <w:rPr>
        <w:rtl w:val="0"/>
      </w:rPr>
      <w:t xml:space="preserve">Izdrukāts 24.03.2023.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w:t>
    </w:r>
    <w:r>
      <w:br/>
    </w:r>
    <w:r w:rsidR="00000000" w:rsidRPr="00000000" w:rsidDel="00000000">
      <w:rPr>
        <w:rtl w:val="0"/>
      </w:rPr>
      <w:t xml:space="preserve">Izdrukāts 24.03.2023.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Atzinumi_23-TA-217.docx</dc:title>
</cp:coreProperties>
</file>

<file path=docProps/custom.xml><?xml version="1.0" encoding="utf-8"?>
<Properties xmlns="http://schemas.openxmlformats.org/officeDocument/2006/custom-properties" xmlns:vt="http://schemas.openxmlformats.org/officeDocument/2006/docPropsVTypes"/>
</file>