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Stājoties spēkā Eiropas Komisijas lēmumam par Atveseļošanas fonda plāna grozījumu priekšlikumiem,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noteiktie mērķrādītāji ir sasniedzami šādos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49. punktu, vārdus "Stājoties spēkā Eiropas Komisijas lēmumam [..]" aizstājot ar vārdiem "Pēc Eiropas Komisijas lēmuma [..] spēkā stāšanās" vai tamlīdzīgi. Vienlaikus, lai neveidotu sarežģītus pārejas noteikumus, aicinām apsvērt iespēju jau šobrīd noteikumu projekta 7. punktā noteikt aktualizētos mērķrādītājus, ņemot vērā, piemēram, ka noteikumu projekta 7.1. apakšpunktā paredzēto mērķrādītāju paredzēts sasniegt līdz </w:t>
            </w:r>
            <w:r w:rsidR="00000000" w:rsidRPr="00000000" w:rsidDel="00000000">
              <w:rPr>
                <w:u w:val="single"/>
                <w:rtl w:val="0"/>
              </w:rPr>
              <w:t xml:space="preserve">2023. gada 30. jūnijam</w:t>
            </w:r>
            <w:r w:rsidR="00000000" w:rsidRPr="00000000" w:rsidDel="00000000">
              <w:rPr>
                <w:rtl w:val="0"/>
              </w:rPr>
              <w:t xml:space="preserve">, t.i., noteikumu projekta pamatnormā šobrīd noteikto termiņu nav iespējams ievērot.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papildināt noteikumu projekta anotāciju ar informāciju par to, kā investīcijas īstenošanā iesaistītās personas tiks informētas par izmaiņām sasniedzamajos mērķrādītājos.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27.06.2023.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27.06.2023.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