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3.sadaļā "Tiesību akta projekta ietekme uz valsts budžetu un pašvaldību budžetiem" tabulu, ievērojot to, ka Saeimā 2.lasījumā 2023.gada 9.martā ir pieņemts likums “Par valsts budžetu 2023.gadam un budžeta ietvaru 2023., 2024. un 2025.gadam”, kurā ir piešķirts finansējums starpnozaru prioritārajam pasākumam 11_05_H “Pabalstu un kompensāciju nodrošinājuma palielināšana par dienestu ārvalstīs kvalitatīvai Latvijas nacionālo drošības un ekonomisko interešu aizstāvībai”, tādējādi tas tabulā nav jānorāda kā papildu nepieciešamais finansējums. Precizēt arī tekstu 6. punktā, atsaucoties uz likumu nevis likumprojektu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16.03.2023.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16.03.2023.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