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Dzeramā ūdens obligātās nekaitīguma un kvalitātes prasības, monitoringa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Ūdensapgādes un kanalizācijas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tekstā pieturēties pie noteiktajiem terminiem (vietām parādās arī tādi termini kā dzeramā ūdens piegādes sistēma, sadales tīkls, kas nav definēti pie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“ūdensapgādes inženiertīkli” ir cauruļvadi, aprīkojums, iekārtas un ierīces, kas ir ierīkotas starp publiskās vai privātās telpās uzstādītiem ūdens krāniem, kuri ir paredzēti dzeramā ūdens lietošanai un ūdens sadales inženiertīkliem, bet tikai tad, ja par tiem nav atbildīgs ūdens piegādātājs;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definīciju, jo tā atsaucas uz ūdens sadales inženiertīkliem, kas nav definēti terminos. Pēc būtības nepieciešams saskaņot ar citām noteikumu projektā izmantotajām terminu definīcijām, it sevišķi ūdensapgādes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Vienkāršots definīcijas priekšlikums: “ūdensapgādes inženiertīkli” ir cauruļvadi, aprīkojums, iekārtas un ierīces, kas ir ierīkotas publiskās vai privātās ēkās, un paredzētas dzeramā ūdens no ūdensapgādes sistēmas nodrošināšanai, bet tikai tad, ja par tiem nav atbildīgs ūdens piegādātājs.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dzeramo ūdeni piegādā no sadales tīkla tajā vietā objektā vai iestādē, kur dzeramo ūdeni saņem patērētājs, ja ūdeni piegādā pa ūdensvadu;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šā un 14.punkta kontekstā, objekts un iestāde ir sinonīmi, līdz ar to, izvairoties no liekvārdības, iespējams atstāt tikai "objektā".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šo noteikumu </w:t>
            </w:r>
            <w:r w:rsidR="00000000" w:rsidRPr="00000000" w:rsidDel="00000000">
              <w:rPr>
                <w:rtl w:val="0"/>
              </w:rPr>
              <w:t xml:space="preserve">1.</w:t>
            </w:r>
            <w:r w:rsidR="00000000" w:rsidRPr="00000000" w:rsidDel="00000000">
              <w:rPr>
                <w:rtl w:val="0"/>
              </w:rPr>
              <w:t xml:space="preserve"> pielikuma 4.punktā uzskaitīto rādītāju monitorings ūdensapgādes inženiertīklā, ja to nepieciešamību nosaka ūdensapgādes inženiertīkla riska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punkts attiecas uz ēkas ūdensapgādes inženiertīkla riska novērtēšanu vai ūdensapgādes sistēmas riska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kā arī, ja tas attiecas uz ēkas ūdensapgādes inženiertīkla riska novērtēšanu, tad ūdens piegādātājam nav pamata rādītājus monitoringa programmā, jo tas ir veicams aiz 16.1. punktā minētās piederības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Sateces baseina riska novērtējuma pārskatīšanu un atjaunošanu, kā arī saskaņošanu ar LVĢMC nodrošina ūdens piegādātājs, kas dzeramā ūdens piegādei izmanto sateces baseinā esošo dzeramā ūdens ieguves vietu. Sateces baseina riska novērtējumu ūdens piegādātājs pārskata ne retāk kā reizi sešos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sateces baseina riska novērtējuma pārskatīšanu un atjaunošanu nodot ūdens piegādātājam nav saskanīga ar tā būtību un iesaistītajām pusēm pieejamo informāciju. Biedrības ieskatā, sateces baseina riska novērtējums potenciāli ir vienāds visām ūdensapgādes sistēmām, kas atrodas konkrētajā baseinā, līdz ar to, gadījumā, ja riska novērtējumus pārskata ūdens piegādātāji, tiek veidoti pēc būtības identiski novērtējumi, kas secīgi jāsaskaņo LVĢMC. Tādējādi tiek dublētas veicamās darbībās un veidots papildu birokrātisks darba apjoms LVĢMC pusē.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ūdens piegādātājiem nav pieejama informācija par pazemes ūdens hidroģeoloģiju un tās potenciālajām izmaiņām, izmaiņām urbumu skaitā un to apsaimniekošanas līmenī konkrētajā sateces baseinā, u.c. Līdz ar to, lai sagatavotu riska novērtējumu, katram ūdens piegādātājam nenovēršami būtu jāgriežas LVĢMC, lai saņemtu attiecīgo informāciju, tādējādi tiek radīta papildu noslodze LVĢMC pusē, kā arī izdevumi katrā ūdenssaimniecībā, kas saistīti ar informācijas iegūšanu no LVĢMC.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informāciju, biedrība uzskata, ka sateces baseinu risku novērtējumu un visas ar to saistītās izmaiņas ir jāveic LVĢMC.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biedrība lūdz izvērtēt faktisko sateces baseinu skaitu un secīgi precizēt finanšu resursu aplēsi, kas nepieciešami, lai īstenotu sākotnējos sateces baseinu riska novērtējumus.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ir jāsniedz šo noteikumu </w:t>
            </w:r>
            <w:r w:rsidR="00000000" w:rsidRPr="00000000" w:rsidDel="00000000">
              <w:rPr>
                <w:rtl w:val="0"/>
              </w:rPr>
              <w:t xml:space="preserve">26.1. </w:t>
            </w:r>
            <w:r w:rsidR="00000000" w:rsidRPr="00000000" w:rsidDel="00000000">
              <w:rPr>
                <w:rtl w:val="0"/>
              </w:rPr>
              <w:t xml:space="preserve">apakšpunktā</w:t>
            </w:r>
            <w:r w:rsidR="00000000" w:rsidRPr="00000000" w:rsidDel="00000000">
              <w:rPr>
                <w:rtl w:val="0"/>
              </w:rPr>
              <w:t xml:space="preserve"> paredzētais apliecinājums, lai apstiprinātu, ka dzeramais ūdens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minētajās atbilstības vietās ir pilnvērtīgs un tīrs.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atsauces apakšpunktu, kurā minēts paredzētais apliecinājums.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Lai samazinātu riskus, kas saistīti ar ūdensapgādes inženiertīklu visās ēkās: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viedokli, ka Punktu nepieciešams paplašināt ar 68. punktā pēc būtības kā obligātu prasību jāparedz aizsargierīces (pretvārsta) uzstādīšanu, atbilstoši LVS EN 1717:2002 “Dzeramā ūdens aizsardzība pret piesārņojumu ūdens iekārtās un vispārīgās prasības ūdensapgādes ierīcēm, lai novērstu iespējamo piesārņojumu atpakaļplūdes dēļ” vismaz jaunbūvējamos objektos, lai samazinātu risku kopējās ūdens sadales sistēmas piesārņojumam.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“pretvārstu” uzstādīšana būtiski samazina riskus, kas saistīti ar ēku iekšējā ūdensapgādes tīklā esošā ūdens nonākšanu ārējos ūdensapgādes tīklos. Ilustrējot situāciju, ir noticis centralizēto ūdensapgādes tīklu plīsums, tiek atslēgts ūdens un iztukšots cauruļvads, savukārt, ēkas ievadā netiek aizvērta noslēgierīce, tādējādi centralizētos ūdensapgādes tīklos nonāk ūdens, kurā ir iespējami paaugstināts mikroorganismu skaits (stāvošs un uzsilis aukstais ūdens ēku iekšējos tīklos, vai sliktākajā gadījumā, ja nav korekti izbūvēti siltā ūdens sagatavošanas risinājumi, siltais ūdens), kā arī iespējami svina savienojumi (ja iekšējos tīklos ir sastopami svina cauruļvadi). Šāda prakse ir plaši izmantota Eiropas Savienības valstīs un nodrošina risku samazinājumu. Attiecīgu ierīču uzstādīšanas izmaksas nepārsniedz 30-50 EUR (ieskaitot materiālu un uzstādīšanas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uzskata, ka “pretvārsta” uzstādīšana ir tieši saistīta gan ar risku samazinājumu, gan dzeramā ūdens kvalitāti, līdz ar to iestrādājama tieši šī normatīvā akta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pieņemtajiem lēmumiem starpinstitūciju sanāksmē ir panākta vienošanās par to, ka Veselības ministrija ierosinās Ekonomikas ministrijai veikt izmaiņas būvnormatīvos tehnisku risinājumu iekļaušanai dzeramā ūdens kvalitātes uzlabošanai. Lūgums fiksēt plānoto aktivitāti anotācijā vai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1.2.2.apakšpunktā noteiktos pienākumus ūdens piegādātājs veic no 2024.gada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noteiktajā termiņā nav iespējams veikt paredzētās darbības. Ir nepieciešams detalizēta situācijas un izmaksu analīze, lai identificētu termiņu, kurā darbības ir reāli realizējamas.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plānot izmaksas, kas iekļaujamas ūdensapgādes tarifos, lai neapdraudētu ūdenssaimniecību finansiālo stabilitāti. Šobrīd kopējās noteikumu projekta, tajā skaitā auditomonitoringa, ieviešanas izmaksas nav zināmas, kā arī tarifu saskaņošana ir vismaz 3 mēnešus garš process, līdz ar to prognozējamās izmaksas, neapdraudot ūdenssaimniecības uzņēmumu finansiālo stabilitāti, ar ieņēmumiem no tarifiem nav iespējams segt 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pēc starpinsitūcijas sanāksmes un informatīvā ziņojuma Par atbildības noteikšanu par "Eiropas Parlamenta un Padomes 2020.gada 16. decembra Direktīvai (ES) 2020/2184 par dzeramā ūdens kvalitāti" izskatīšanas Valsts sekretāru sanāksmē 18.05.2023., nav saprotams un skaidrs, kura institūcija ir atbildīga par visu attiecīgās Direktīvas ieviešanas procesu. Biedrība uztur spēkā prasību, noteikt vienu atbildīgo institūciju, kuras pārraudzībā ir visi ar direktīvas ieviešanu saistītie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sadalījums starp vairākām institūcijām,  kas, iespējams, neaptver visas jomas, rada riskus ūdensapgādes nozares pārraudzībai, kas var radīt būtiskus riskus ārkārtas situācijas gadījumos, kad nav iespējams noteikt konkrētu atbildīgo. Tas var būtiski apdraudēt iedzīvotāju ūdensapgādes pakalpojumu pieejamību, līdz ar to veselību un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Mainoties atbildīgajai pusei par auditmonitoringa veikšanu, nav iekļauts atbilstošais izmaksu aprēķins, kas atbilstoši noteikumu projektam šobrīd ir iekļaujams ūdensapgādes pakalpojumu sniedzēju izdevumos. Atbilstoši iepriekš veiktajām aplēsēm, iepriekšējās noteikumu projekta saskaņošanas fāzes, kopējās auditmonitoringa izmaksas ir 730 330 EUR/gadā, līdz ar to izmaksas var būtiski ietekmēt ūdensapgādes tarifus. Nepieciešams papildināt novērtējumu ar atbilstošo izdevumu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novērtējumā veikts pieņēmums, ka sabiedrības informēšana būtu jāveic 1 reizi gadā, tomēr Noteikumu projekta 20.2. punktā minēts, ka informāciju jāsniedz vismaz vienu reizi mēnesī. Līdz ar to veiktais novērtējums nav patiess un reālās sabiedrības informēšanas izmaksas ir vismaz 12 reižu lielākas un sastāda 95 988 EUR x 12 = 1 151 856 EUR. Ja salīdzinām šīs izmaksas ar kopējiem nozares ieņēmumiem no maksājumiem par ūdensapgādes pakalpojumiem (aptuveni 50 000 000 EUR), varam secināt ka šīs vienas procedūras ieviešanas ietekme uz tarifa pieaugumu ir vismaz 2% (mazākās saimniecībās būtiski lielāka).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izmaksu monetāro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novērtējumā nav ņemtas vērā izmaksas, kas saistītas ar riska novērtējuma veikšanu ūdensapgādes sistēmas līdz tā piegādes vietai, kas katrai sistēmai varētu izmaksāt 3 000 - 10 000 Eur, tādējādi būtiski palielinot gan kopējās ieviešanas izmaksas, gan ietekmi uz ūdensapgādes tarifiem. Riska novērtējuma izmaksas iekšējiem ūdensapgādes inženiertīkliem arī ir noteiktas ļoti optimistiskas un neraksturo patieso tirgus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līdz 2023. gada 15. decembrim izstrādāt informatīvo ziņojumu par pašvaldībām nepieciešamajiem resursiem un investīcijām, tai skaitā no Eiropas Savienības fondu līdzekļiem, ūdensapgādes un kanalizācijas sistēmām Ministru kabineta noteikumu projekta "Dzeramā ūdens obligātās nekaitīguma un kvalitātes prasības, monitoringa un kontroles kārtība" (22-TA-2538) prasību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Ministru kabineta noteikumu projektu (turpmāk - Projekta) </w:t>
            </w:r>
            <w:r w:rsidR="00000000" w:rsidRPr="00000000" w:rsidDel="00000000">
              <w:rPr>
                <w:b w:val="1"/>
                <w:rtl w:val="0"/>
              </w:rPr>
              <w:t xml:space="preserve">nav pieļaujams virzīt uz apstiprināšanu pirms pilnvērtīgas tā finanšu aplēses un tās ietekmes gan uz patērētājiem, gan ūdenssaimniecībām, gan pašvaldībā izstrādes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Prognozējams, ka Projekta ieviešana būtiski ietekmēs ūdensapgādes tarifus, par ko norādīts biedrības iepriekšējos saskaņošanas etapos sniegtajos iebildumos, līdz ar to varētu ietekmēt gan dzeramā ūdens pakalpojuma pieejamību (tarifi pārsniegs iedzīvotāju maksātspēju), gan mazinās sabiedrības motivāciju izmantot centralizētus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uzskata, ka turpmākā Ministru kabineta noteikumu projekta virzība ir jāaptur vismaz līdz 2023.gada 15.decembrim, kas noteikts kā resursu un investīciju aplēses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no sadales tīkla piegādātais dzeramais ūdens objektā vai iestādē tajā vietā, kurā ūdens izplūst pa krānu, neatbilst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rādītāju vērtībām: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jānorāda atsauce uz skaidru un precīzi formulētu vietu - objektu jeb 12.1.apakšpunktu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Lemjot par šo noteikumu </w:t>
            </w:r>
            <w:r w:rsidR="00000000" w:rsidRPr="00000000" w:rsidDel="00000000">
              <w:rPr>
                <w:rtl w:val="0"/>
              </w:rPr>
              <w:t xml:space="preserve">45.</w:t>
            </w:r>
            <w:r w:rsidR="00000000" w:rsidRPr="00000000" w:rsidDel="00000000">
              <w:rPr>
                <w:rtl w:val="0"/>
              </w:rPr>
              <w:t xml:space="preserve"> minētajiem papildu rādītājiem monitoringam, LVĢMC izvērtē vismaz: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papildināt vārdu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Lemjot par šo noteikumu 45. punktā minētajiem papildu rādītājiem monitoringam, LVĢMC izvērtē vismaz: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pazemes ūdeņu piesārņojošās vielas, kuras noteikti normatīvajos aktos par pazemes ūdens resursu apzināšanas kārtību un kvalitātes kritērijiem un kurām noteikti vides kvalitātes normatīvi vai robežvērtības;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mainīt vārda "noteikti"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pazemes ūdeņu piesārņojošās vielas, kuras noteiktas normatīvajos aktos par pazemes ūdens resursu apzināšanas kārtību un kvalitātes kritērijiem un kurām noteikti vides kvalitātes normatīvi vai robežvērtības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ūdensapgādes inženiertīkls vai ar to saistītie izstrādājumi un materiāli rada risku cilvēku veselībai, vai, ja </w:t>
            </w:r>
            <w:r w:rsidR="00000000" w:rsidRPr="00000000" w:rsidDel="00000000">
              <w:rPr>
                <w:i w:val="1"/>
                <w:rtl w:val="0"/>
              </w:rPr>
              <w:t xml:space="preserve">Legionella</w:t>
            </w:r>
            <w:r w:rsidR="00000000" w:rsidRPr="00000000" w:rsidDel="00000000">
              <w:rPr>
                <w:rtl w:val="0"/>
              </w:rPr>
              <w:t xml:space="preserve"> </w:t>
            </w:r>
            <w:r w:rsidR="00000000" w:rsidRPr="00000000" w:rsidDel="00000000">
              <w:rPr>
                <w:i w:val="1"/>
                <w:rtl w:val="0"/>
              </w:rPr>
              <w:t xml:space="preserve">spp. </w:t>
            </w:r>
            <w:r w:rsidR="00000000" w:rsidRPr="00000000" w:rsidDel="00000000">
              <w:rPr>
                <w:rtl w:val="0"/>
              </w:rPr>
              <w:t xml:space="preserve">baktēriju un svina monitoringā tiek konstatēts, ka viens vai abi rādītāji neatbilst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4.punkta rādītāju vērtībām, ēkas ūdensapgādes inženiertīkla īpašnieks vai tā pilnvarota persona veic korektīvos pasākumus, lai novērstu vai mazinātu risku, ka ūdens neatbilst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4.punktā noteiktajām rādītāju vērtībām.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ūdensapgādes inženiertīkls vai ar to saistītie izstrādājumi un materiāli rada risku cilvēku veselībai, vai, ja Legionella spp. baktēriju un svina monitoringā tiek konstatēts, ka viens vai abi rādītāji neatbilst šo noteikumu 1. pielikuma 4.punkta rādītāju vērtībām, ēkas ūdensapgādes inženiertīkla īpašnieks vai tā pilnvarota persona veic korektīvos pasākumus, lai novērstu vai mazinātu risku, ka ūdens neatbilst šo noteikumu 1. pielikuma 4.punktā noteiktajām rādītāju 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ēkas ūdensapgādes inženiertīkls vai ar to saistītie izstrādājumi un materiāli rada risku cilvēku veselībai, vai, ja Legionella spp. baktēriju un svina monitoringā tiek konstatēts, ka viens vai abi rādītāji neatbilst šo noteikumu 1. pielikuma 4.punkta rādītāju vērtībām, ēkas ūdensapgādes inženiertīkla īpašnieks vai tā pilnvarota persona veic korektīvos pasākumus, lai novērstu vai mazinātu risku, ka ūdens neatbilst šo noteikumu 1. pielikuma 4.punktā noteiktajām rādītāju vērtībām.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Ūdens piegādātājs, uzsākot jauna ūdens piegādes avota izmantošanu, veic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minēto radioaktīvo vielu rādītāju kontroli.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terminu "piegādes avots" uz "ieguves avots". Saskaņot ar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vēlams papildināt ar nosacījumu, ja attiecīgais ieguves avots atrodas reģionā, kurā atbilstoši sateces baseina riska novērtējumam ir iespējama radiaktivo vielu klātbūtne.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piegādātājs, uzsākot jauna ūdens ieguves avota izmantošanu, veic šo noteikumu 3. pielikumā minēto radioaktīvo vielu rādītāju kontroli.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14.06.2023. 20.27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14.06.2023. 20.27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Atzinumi_22-TA-2538.docx</dc:title>
</cp:coreProperties>
</file>

<file path=docProps/custom.xml><?xml version="1.0" encoding="utf-8"?>
<Properties xmlns="http://schemas.openxmlformats.org/officeDocument/2006/custom-properties" xmlns:vt="http://schemas.openxmlformats.org/officeDocument/2006/docPropsVTypes"/>
</file>