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izslēgt terminu “fiskāli neitrāls” un attiecīgi precizēt anotācijas tekstu. Vienreizējā izmaksa pēc būtības nav fiskāli neitrāls pasākums. Vienreizējā izmaksa 2024.gadā tiek finansēta no rezervētā finansējuma 74. resorā.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lietotājs var pāriet no neto uzskaites sistēmas uz neto norēķinu sistēmu līdz 2025.gada 28.februārim un mājsaimniecības lietotāja neto uzskaites sistēmā uzkrāto saražotās elektroenerģijas apjomu sadales sistēmas operators izsaka finansiālā vērtībā un tiek paredzēta vienreizēja uzkrājuma pārpalikuma izmaksa, tad var veidoties situācija, kad vienreizējā pārpalikuma izmaksa notiek 2025.gadā. Savukārt atbilstoši likumam “Par valsts budžetu 2024. gadam un budžeta ietvaru 2024., 2025. un 2026. gadam” 74. resorā "Gadskārtējā valsts budžeta izpildes procesā pārdalāmais finansējums" pasākumam “Atbalsts elektroenerģijas tarifu pieauguma kompensēšanai” finansējums ir paredzēts tikai 2024. gadā. Lūgums papildināt anotāciju norādot finansējuma avotu vienreizējā pārpalikuma izmaksai 2025.gadā. Attiecīgi papildinot anotācijas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atspoguļoto ietekmi uz budžetu, kā kārtējo (n) gadu norādot 2024.gadu un atbilstoši punktā “Cita informācija” sniegtajai informācijām par prognozējamām izmaksām 120 000 </w:t>
            </w:r>
            <w:r w:rsidR="00000000" w:rsidRPr="00000000" w:rsidDel="00000000">
              <w:rPr>
                <w:i w:val="1"/>
                <w:rtl w:val="0"/>
              </w:rPr>
              <w:t xml:space="preserve">euro </w:t>
            </w:r>
            <w:r w:rsidR="00000000" w:rsidRPr="00000000" w:rsidDel="00000000">
              <w:rPr>
                <w:rtl w:val="0"/>
              </w:rPr>
              <w:t xml:space="preserve">apmērā 3.ailē atspoguļojot izmaiņas 2., 2.1., 3., 3.1., un 4.punktā, ka arī 6.2.apakšpunktā iekļaujot detalizētu aprēķinu. Papildus lūdzam skaidrot vai budžeta 74.resorā prioritārajam pasākumam “Atbalsts elektroenerģijas tarifu pieauguma kompensēšanai” rezervētā finansējuma 50 000 000</w:t>
            </w:r>
            <w:r w:rsidR="00000000" w:rsidRPr="00000000" w:rsidDel="00000000">
              <w:rPr>
                <w:i w:val="1"/>
                <w:rtl w:val="0"/>
              </w:rPr>
              <w:t xml:space="preserve"> euro</w:t>
            </w:r>
            <w:r w:rsidR="00000000" w:rsidRPr="00000000" w:rsidDel="00000000">
              <w:rPr>
                <w:rtl w:val="0"/>
              </w:rPr>
              <w:t xml:space="preserve"> apmērā ietvaros būs iespējams nodrošināt arī noteikumu projektā paredzēto izmaksu mājsaimniecību lietotājiem, ņemot vērā, ka tā ietvaros ir paredzēts nodrošināt Elektroenerģijas tirgus likuma 108.panta izpildes rezultātā elektroenerģijas sadales sistēmas operatora negūto ieņēmumu kompensēšanu par 2024. un 2025.gadu.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punktā “Cita informācija” ir sniegta informācija par </w:t>
            </w:r>
            <w:r w:rsidR="00000000" w:rsidRPr="00000000" w:rsidDel="00000000">
              <w:rPr>
                <w:u w:val="single"/>
                <w:rtl w:val="0"/>
              </w:rPr>
              <w:t xml:space="preserve">vienreizējo maksājumu mājsaimniecību lietotājiem</w:t>
            </w:r>
            <w:r w:rsidR="00000000" w:rsidRPr="00000000" w:rsidDel="00000000">
              <w:rPr>
                <w:rtl w:val="0"/>
              </w:rPr>
              <w:t xml:space="preserve">, kas tiks nodrošināts no budžeta resora “74. Gadskārtējā valsts budžeta izpildes procesā pārdalāmais finansējums" prioritārajam pasākumam “Atbalsts elektroenerģijas tarifu pieauguma kompensēšanai” rezervētā finansējuma, savukārt atbilstoši noteikumu projekta 18.</w:t>
            </w:r>
            <w:r w:rsidR="00000000" w:rsidRPr="00000000" w:rsidDel="00000000">
              <w:rPr>
                <w:vertAlign w:val="superscript"/>
                <w:rtl w:val="0"/>
              </w:rPr>
              <w:t xml:space="preserve">8</w:t>
            </w:r>
            <w:r w:rsidR="00000000" w:rsidRPr="00000000" w:rsidDel="00000000">
              <w:rPr>
                <w:rtl w:val="0"/>
              </w:rPr>
              <w:t xml:space="preserve"> punktam </w:t>
            </w:r>
            <w:r w:rsidR="00000000" w:rsidRPr="00000000" w:rsidDel="00000000">
              <w:rPr>
                <w:u w:val="single"/>
                <w:rtl w:val="0"/>
              </w:rPr>
              <w:t xml:space="preserve">sadales sistēmas operators izmaksā mājsaimniecības lietotājam</w:t>
            </w:r>
            <w:r w:rsidR="00000000" w:rsidRPr="00000000" w:rsidDel="00000000">
              <w:rPr>
                <w:rtl w:val="0"/>
              </w:rPr>
              <w:t xml:space="preserve"> starpību starp uzkrājumu, kas izteikts finansiālā vērtībā un elektroenerģijas sistēmas pakalpojumu izmaksām. Lūdzam skaidrot mehānismu kā tiks nodrošināts minētais maksājums mājsaimniecību lietotājiem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Elektroenerģijas neto uzskaites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mainīt elektroenerģijas neto uzskaites sistēmas principus, proti, t.sk., mājsaimniecībai, kas izmanto neto uzskaites sistēmu, ir pieļaujama elektroenerģijas pārdošana vienojoties ar elektroenerģijas tirgotāju (piemēram, noteikumu projekta 18., 18.</w:t>
            </w:r>
            <w:r w:rsidR="00000000" w:rsidRPr="00000000" w:rsidDel="00000000">
              <w:rPr>
                <w:vertAlign w:val="superscript"/>
                <w:rtl w:val="0"/>
              </w:rPr>
              <w:t xml:space="preserve">1</w:t>
            </w:r>
            <w:r w:rsidR="00000000" w:rsidRPr="00000000" w:rsidDel="00000000">
              <w:rPr>
                <w:rtl w:val="0"/>
              </w:rPr>
              <w:t xml:space="preserve">, 18</w:t>
            </w:r>
            <w:r w:rsidR="00000000" w:rsidRPr="00000000" w:rsidDel="00000000">
              <w:rPr>
                <w:vertAlign w:val="superscript"/>
                <w:rtl w:val="0"/>
              </w:rPr>
              <w:t xml:space="preserve">2</w:t>
            </w:r>
            <w:r w:rsidR="00000000" w:rsidRPr="00000000" w:rsidDel="00000000">
              <w:rPr>
                <w:rtl w:val="0"/>
              </w:rPr>
              <w:t xml:space="preserve">.punkti). Vienlaikus anotācijā ir atsauce uz Eiropas Komisijas skaidrojumu par komercdarbības atbalsta izslēdzošo nosacījumu: vismaz 80% elektroenerģijas izmantošanu pašpatēriņam, proti, ja subjekts (t.sk. fiziska personas/as) gūst ienākumus no elektroenerģijas pārdošanas, kas pārsniedz 20% no kopējā saražotā elektroenerģijas apjoma gada griezumā, tad tas kvalificējas kā saimnieciskās darbības veicējs un attiecībā uz atbalstu tam ir jāpiemēro komercdarbības atbalsta regulējums. Attiecīgi, ņemot vērā iepriekš minēto, mājsaimniecības, kas izmantos neto uzskaites sistēmu, pie attiecīgiem nosacījumiem pārsniedzot 20% no kopējā saražotā elektroenerģijas apjoma gada griezumā, kvalificēsies kā saimnieciskās darbības veicēji.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plānota finansiālā vērtībā izteiktā elektroenerģijas uzkrājuma izmaksa līdz 600</w:t>
            </w:r>
            <w:r w:rsidR="00000000" w:rsidRPr="00000000" w:rsidDel="00000000">
              <w:rPr>
                <w:i w:val="1"/>
                <w:rtl w:val="0"/>
              </w:rPr>
              <w:t xml:space="preserve"> euro</w:t>
            </w:r>
            <w:r w:rsidR="00000000" w:rsidRPr="00000000" w:rsidDel="00000000">
              <w:rPr>
                <w:rtl w:val="0"/>
              </w:rPr>
              <w:t xml:space="preserve"> apmērā, tad, lai novērstu komercdarbības atbalsta riskus, lūdzam anotācijā skaidrot, kāpēc, attiecībā uz mājsaimniecībām, kas darbojas neto uzskaites sistēmā, plānotā izmaksa nekvalificēsies kā komercdarbības atbalsts vai arī sniegt informāciju, kā, tiks ievērotas komercdarbības atbalsta normas. Vienlaikus, ja nepieciešams, lūdzam precizēt noteikumu projekta III.nodaļu.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informāciju anotācijas 2.1.sadaļā </w:t>
            </w:r>
            <w:r w:rsidR="00000000" w:rsidRPr="00000000" w:rsidDel="00000000">
              <w:rPr>
                <w:i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neto sistēma piedāvātajā redakcijā var radīt ekonomiskus zaudējumus tām fiziskajām personām, kas ražo elektroenerģiju no atjaunojamiem energoresursiem pašpatēriņam,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mainoties elektroenerģijas patēriņam laika apstākļu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mainoties elektroenerģijas patēriņa ieradumiem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informāciju par projekta ietekmi uz klimatneitralitāti anotācijas 8.1.7.sadaļā.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 par no atjaunojamiem energoresursiem iegūtas elektroenerģijas pārpalikuma robežvērtības pārsniegšanu var negatīvi ietekmēt motivāciju samazināt enerģijas patēriņu un palielināt energoefektivitāti, tādējādi negatīvi ietekmējot Latvijas virzību uz klimatneitralitātes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23-TA-3256</w:t>
    </w:r>
    <w:r>
      <w:br/>
    </w:r>
    <w:r w:rsidR="00000000" w:rsidRPr="00000000" w:rsidDel="00000000">
      <w:rPr>
        <w:rtl w:val="0"/>
      </w:rPr>
      <w:t xml:space="preserve">Izdrukāts 09.01.2024. 12.08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23-TA-3256</w:t>
    </w:r>
    <w:r>
      <w:br/>
    </w:r>
    <w:r w:rsidR="00000000" w:rsidRPr="00000000" w:rsidDel="00000000">
      <w:rPr>
        <w:rtl w:val="0"/>
      </w:rPr>
      <w:t xml:space="preserve">Izdrukāts 09.01.2024. 12.08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Atzinumi_23-TA-3256.docx</dc:title>
</cp:coreProperties>
</file>

<file path=docProps/custom.xml><?xml version="1.0" encoding="utf-8"?>
<Properties xmlns="http://schemas.openxmlformats.org/officeDocument/2006/custom-properties" xmlns:vt="http://schemas.openxmlformats.org/officeDocument/2006/docPropsVTypes"/>
</file>