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22-TA-3183: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Noteikumi par minimālajām kiberdrošības prasībām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27.09.2024.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02.10.2024.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Noteikumi par minimālajām kiberdrošības prasībām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ar noteikumu projektu ir pārņemtas Eiropas Parlamenta un Padomes 2022. gada 14. decembra Direktīvas (ES) 2022/2555, ar ko paredz pasākumus nolūkā panākt vienādi augstu kiberdrošības līmeni visā Savienībā un ar ko groza Regulu (ES) Nr. 910/2014 un Direktīvu (ES) 2018/1972 un atceļ Direktīvu (ES) 2016/1148, (TID 2 direktīva) (turpmāk - direktīva Nr. 2022/2555) un  Eiropas Parlamenta un Padomes 2018. gada 11. decembra Direktīvas Nr. 2018/1972/ES par Eiropas Elektronisko sakaru kodeksa izveidi (turpmāk - direktīva Nr. 2018/1972/ES) prasības, lūdzam papildināt noteikumu projektu ar informatīvo atsauci uz minētajām direktīvām, ievērojot Ministru kabineta 2009. gada 3. februāra noteikumu Nr. 108 "Normatīvo aktu projektu sagatavošanas noteikumi" (turpmāk - noteikumi Nr. 108) 4. nodaļā noteikto.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Izdoti saskaņā ar Nacionālās kiberdrošības likuma 9. panta ceturto daļu, 12. panta trešo daļu, 24. panta otro daļu, 25. panta pirmo daļu, 26. pantu, 28. panta otro daļu, 29. pantu, 33. pantu, 34. panta pirmo, septīto un desmito daļu, 36. panta pirmo daļu, 42. panta trešo daļu, 43. panta otro daļu un 44. panta otro daļu un Elektronisko sakaru likuma 8. panta pirmo un otro daļu.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nepieciešamības gadījumā papildināt noteikumu projektu ar regulējumu, kas atbilst Nacionālās kiberdrošības likuma 31. pantā un 32. panta otrajā un trešajā ietvertajam pilnvarojumam, vai alternatīvi lūdzam sniegt skaidrojumu, kā paredzēts izpildīt minēto pilnvarojumu noteikumu projekta anotācijā.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1.12. kritērijus un kārtību subjekta tīklu un informācijas sistēmu drošības skenēšanai;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atbilstoši Nacionālās kiberdrošības likuma 42. panta pirmajā daļā noteiktajam.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"1.12. kritērijus un kārtību subjekta elektronisko sakaru tīklu un informācijas sistēmu drošības skenēšanai;"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 prasības kiberincidentu novēršanas institūcijām.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nepieciešamības gadījumā svītrot noteikumu projekta 1.20. apakšpunktu un 6. nodaļu (precizējot arī norādi uz noteikumu projekta izdošanas tiesisko pamatu), ievērojot, ka prasības kiberincidentu novēršanas institūcijām jau ir ietvertas atsevišķā Ministru kabineta noteikumu projektā (24-TA-1718). Ja noteikumu projektā attiecīgais regulējums tiek saglabāts, lūdzam papildināt noteikumu projekta anotācijas 5. sadaļu, ievērojot Tieslietu ministrijas atzinumā par projekta (24-TA-1718) anotāciju norādīto.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w:t>
            </w:r>
            <w:r w:rsidR="00000000" w:rsidRPr="00000000" w:rsidDel="00000000">
              <w:rPr>
                <w:b w:val="1"/>
                <w:rtl w:val="0"/>
              </w:rPr>
              <w:t xml:space="preserve">ārpakalpojums</w:t>
            </w:r>
            <w:r w:rsidR="00000000" w:rsidRPr="00000000" w:rsidDel="00000000">
              <w:rPr>
                <w:rtl w:val="0"/>
              </w:rPr>
              <w:t xml:space="preserve"> – jebkura veida vienošanās starp subjektu un pakalpojuma sniedzēju, saskaņā ar kuru šis pakalpojuma sniedzējs nodrošina procesu, sniedz pakalpojumu vai veic citu darbību subjekta uzdevumā;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juridiskās tehnikas prasībām lūdzam noteikumu projektā neskaidrot terminus, kuri skaidroti vai lietoti tostarp likumos, kuri ir noteikumu projekta izdošanas tiesiskais pamats (piem., ārpakalpojums, drošības pasākums, IKT resursi u.c.), svītrojot attiecīgās noteikumu projekta normas (piem., noteikumu projekta 2.4. apakšpunktu).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2.21.1. aparatūra (</w:t>
            </w:r>
            <w:r w:rsidR="00000000" w:rsidRPr="00000000" w:rsidDel="00000000">
              <w:rPr>
                <w:i w:val="1"/>
                <w:rtl w:val="0"/>
              </w:rPr>
              <w:t xml:space="preserve">hardware</w:t>
            </w:r>
            <w:r w:rsidR="00000000" w:rsidRPr="00000000" w:rsidDel="00000000">
              <w:rPr>
                <w:rtl w:val="0"/>
              </w:rPr>
              <w:t xml:space="preserve">), tostarp tīkla darbību nodrošinošās iekārtas, darbstacijas, serveri, datu nesēji un citas saistītas iekārtas,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Tiesiskās noteiktības nolūkā lūdzam noteikumu projekta anotācijā sniegt skaidrojumu par citām saistītām iekārtām (tostarp nepieciešamības gadījumā norādot konkrētus piemērus).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Bezdelīga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Noteikumi attiecas uz domēnu vārdu reģistrācijas pakalpojumu sniedzējiem.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noteikumu projekta 4. punktu, jo attiecīgai normai nav juridiskas slodzes un tā ir deklaratīva. Proti, tālāk noteikumu projektā tiešā tekstā ir norādīts, ka noteikumu projekta konkrētas normas attiecas uz attiecīgo pakalpojumu sniedzējiem.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Par kiberdrošības pārvaldnieku var būt fiziska persona: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projekta anotāciju ar skaidrojumu par kiberdrošības pārvaldniekam izvirzītajām prasībām un to nepieciešamību pārvaldnieka darbā, kā arī, vai šīs prasības ir samērīgas.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Agnese Sermā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Par kiberdrošības pārvaldnieku var būt fiziska persona: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Kiberdrošības pārvaldniekam izvirzītās prasības attiecas uz visiem subjektiem. Atbilstoši Nacionālās kiberdrošības likuma 25. panta trešajai daļai informācijas un komunikācijas tehnoloģiju kritiskās infrastruktūras īpašnieks vai tiesiskais valdītājs kiberdrošības pārvaldnieku nosaka pēc </w:t>
            </w:r>
            <w:r w:rsidR="00000000" w:rsidRPr="00000000" w:rsidDel="00000000">
              <w:rPr>
                <w:u w:val="single"/>
                <w:rtl w:val="0"/>
              </w:rPr>
              <w:t xml:space="preserve">saskaņošanas ar Satversmes aizsardzības biroju</w:t>
            </w:r>
            <w:r w:rsidR="00000000" w:rsidRPr="00000000" w:rsidDel="00000000">
              <w:rPr>
                <w:rtl w:val="0"/>
              </w:rPr>
              <w:t xml:space="preserve">, kas pārbauda kiberdrošības pārvaldnieka atbilstību izvirzītajām prasībām. No noteikumu projektā ietvertā regulējuma nav saprotams, kādā veidā subjekta vadītājs, kas nav informācijas un komunikācijas tehnoloģiju kritiskās infrastruktūras īpašnieks vai tiesiskais valdītājs, pārliecināsies (pārbaudīs), vai kiberdrošības pārvaldnieks atbilst izvirzītajām prasībām, lai nodrošinātu atbilstību projektā noteiktajam (piemēram, 8.4.-8.9.apakšpunktā ietvertajām prasībām). Ievērojot minēto, lūdzam izvērtēt noteikumu projekta 8. punktā ietvertās prasības kiberdrošības pārvaldniekam, kā arī subjekta vadītāja iespējas veikt pārbaudi, vai attiecīgais kiberdrošības pārvaldnieks atbilst izvirzītajām prasībām un attiecīgi precizēt (papildināt) projektu un projekta anotāciju.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Agnese Sermā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8.3. kurai ir augstākā vai vidējā profesionālā izglītība kiberdrošības pārvaldības vai citā saistītā jomā, vai kura ir saņēmusi starptautiski atzītu sertifikātu, kas apliecina personas kvalifikāciju kiberdrošības pārvaldības jomā (piemēram, CISM, CISSP), vai kurai ir vismaz divu gadu darba pieredze kiberdrošības pasākumu plānošanā vai īstenošanā;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ar kritērijiem (definējums), kas norāda ka aktivitāte ir uzskatāma par "Drošības skenēšanu".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8.6. kura nav un nav bijusi PSRS, Latvijas PSR vai kādas ārvalsts drošības dienesta štata vai ārštata darbinieks, aģents, rezidents vai konspiratīvā dzīvokļa turētājs;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normatīvajos aktos pie šāda veida ierobežojuma parasti uzskaita arī izlūkdienesta vai pretizlūkošanas dienestus. Piemēram, likumā “Par valsts noslēpumu”, Valsts civildienesta likumā un Militārā dienesta likumā utt. (“kas ir vai ir bijis PSRS, Latvijas PSR vai kādas ārvalsts drošības dienesta, izlūkdienesta vai pretizlūkošanas dienesta štata vai ārštata darbinieks, aģents, rezidents vai konspiratīvā dzīvokļa turētājs”). Ievērojot minēto, lūdzam izvērtēt nepieciešamību precizēt ierobežojumu un attiecīgi to papildināt arī izlūkdienestiem vai pretizlūkošanas dienestiem, vai arī pamatot noteikumu projekta anotācijā šāda ierobežojuma izvēli.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Agnese Sermā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8.9. kura nepieder pie organizētās noziedzības grupējuma, nelikumīga militarizēta vai bruņota formējuma, vai pie nevalstiskās organizācijas vai nevalstisko organizāciju apvienības, kas uzsākusi darbību (juridisko) pirms tās reģistrācijas vai turpina darboties pēc tam, kad tās darbība ir apturēta vai izbeigta ar tiesas nolēmumu.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prasību attiecībā uz nevalstiskās organizācijas vai nevalstisko organizāciju apvienības darbību. Norādām, ka nav saprotams, kas ir domāts ar to, ka nevalstiskā organizācija ir uzsākusi savu juridisko darbību pirms reģistrācijas, kā arī, kā var šādu darbību konstatēt. Norādām, ka nevalstisko organizāciju darbību regulē Biedrību un nodibinājumu likums. Saskaņā ar Biedrību un nodibinājumu likuma 3. pantu biedrība un nodibinājums iegūst juridiskās personas statusu ar brīdi, kad tie ierakstīti biedrību un nodibinājumu reģistrā. Ievērojot minēto, lūdzam izvērtēt šāda kritērija iekļaušanu 8.9.apakšpunktā.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lūdzam precizēt punktu un norādīt konkrētas organizāciju formas, jo normatīvajos aktos pārsvarā netiek lietots termins "nevalstiskā organizācija" (piemēram, - biedrība, nodibinājums, politiskā partija).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arī lūdzam noteikumu projekta anotācijā skaidrot šī ierobežojuma nepieciešamību un tā sasaisti ar kiberdrošības prasībām.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Agnese Sermā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Sagatavojot šo noteikumu </w:t>
            </w:r>
            <w:r w:rsidR="00000000" w:rsidRPr="00000000" w:rsidDel="00000000">
              <w:rPr>
                <w:rtl w:val="0"/>
              </w:rPr>
              <w:t xml:space="preserve">9.</w:t>
            </w:r>
            <w:r w:rsidR="00000000" w:rsidRPr="00000000" w:rsidDel="00000000">
              <w:rPr>
                <w:rtl w:val="0"/>
              </w:rPr>
              <w:t xml:space="preserve"> punktā minēto atzinumu, kompetentā valsts drošības iestāde vērtē šādu informāciju un apsvērumus: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9.punktā tiek norādīts, ka atzinumu par to vai fiziska persona, kurai ir NATO, Eiropas Savienības vai Eiropas Ekonomikas zonas valsts pilsonība, var būt par kibedrošības pārvaldnieku, izdod Satversmes aizsardzības birojs, taču noteikumu projekta 10. punktā tiek norādīts, ka šādu atzinumu izdod kompetentā valsts drošības iestāde. Ņemot vēra to, ka valsts drošības iestāde aptver vairākas iestādes (tai skaitā Militārās izlūkošanas un drošības dienests, Valsts drošības dienests), lūdzam precizēt noteikumu projektu, lai tas būtu skaidrs un saprotams, salāgojot noteikumu projekta 9. punktu ar noteikumu projekta 10.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Bezdelīga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10.1. iespējamību, ka persona varētu būt pakļauta tādas valsts ietekmei: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anotācijā skaidrot, konkrēti kā tiks vērtēta iespējamība, ka persona varētu būt pakļauta tādas valsts ietekmei. Norādām, ka, piemērojot fiziskai personai pamattiesību ierobežojošu normu, Satversmes aizsardzības biroja atzinumā jābūt skaidram pamatojumam. Lūdzam izvērtēt vai normā nav svītrojama norāde uz </w:t>
            </w:r>
            <w:r w:rsidR="00000000" w:rsidRPr="00000000" w:rsidDel="00000000">
              <w:rPr>
                <w:i w:val="1"/>
                <w:rtl w:val="0"/>
              </w:rPr>
              <w:t xml:space="preserve">iespējamību</w:t>
            </w:r>
            <w:r w:rsidR="00000000" w:rsidRPr="00000000" w:rsidDel="00000000">
              <w:rPr>
                <w:rtl w:val="0"/>
              </w:rPr>
              <w:t xml:space="preserve">, vai sniegt noteikumu projekta anotācijā atbilstošu skaidrojumu šādas normas saturam.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Bezdelīga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10.2. ja attiecināms, citu informāciju par personu, kas varētu liecināt par drošības riskiem saistībā ar kiberdrošības pārvaldnieka pienākumu pildīšanu.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Tiesiskās noteiktības nolūkā lūdzam noteikumu projekta 10.2. apakšpunktā norādīt (nepieciešamības gadījumā, piemērveidā), kāda informācija vēl varētu tikt izvērtēta.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Kiberdrošības pārvaldības dokumentācija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projekta anotāciju ar informāciju, no kuras konkrēti Nacionālās kiberdrošības likuma vai Elektronisko sakaru likuma normas izriet Ministru kabineta tiesības paredzēt attiecīgi noteikumu projekta 3.2., 3.3., 3.4., 3.6., 3.7., 3.8. 3.9., 3.10., 4.1., 4.2., 4.4., 5. un 8.2. apakšnodaļā ietverto regulējumu.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Subjekta kiberdrošības pārvaldības dokumentācijas kopumu veido:</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precizēt noteikumu projekta 11. punktu, nodrošinot loģisku un secīgu tiesību normu izklāstu un sākotnēji 11. punktā norādot subjekta pienākumu attiecīgo dokumentācijas kopumu veidot, kas šobrīd netieši izriet no tālākā noteikumu projekta regulējuma.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Subjekts nosaka konfidencialitātes, integritātes un pieejamības drošības klasi (A, B vai C) atbilstoši šo noteikumu </w:t>
            </w:r>
            <w:r w:rsidR="00000000" w:rsidRPr="00000000" w:rsidDel="00000000">
              <w:rPr>
                <w:rtl w:val="0"/>
              </w:rPr>
              <w:t xml:space="preserve">4. </w:t>
            </w:r>
            <w:r w:rsidR="00000000" w:rsidRPr="00000000" w:rsidDel="00000000">
              <w:rPr>
                <w:rtl w:val="0"/>
              </w:rPr>
              <w:t xml:space="preserve">pielikumā</w:t>
            </w:r>
            <w:r w:rsidR="00000000" w:rsidRPr="00000000" w:rsidDel="00000000">
              <w:rPr>
                <w:rtl w:val="0"/>
              </w:rPr>
              <w:t xml:space="preserve"> ietvertajai metodikai katrai subjekta īpašumā, valdījumā, turējumā un lietošanā esošajai informācijas sistēmai un tajā elektroniski apstrādājamo informācijas resursu kategorijai.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tiesību normu pareizu un precīzu piemērošanu, lūdzam noteikumu projektā paredzēt uzdevumu atbildīgajai institūcijai izstrādāt vadlīnijas, kā noteikt sistēmu drošības klasi.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38.3. kiberincidenta vai pamatotu aizdomu par kiberincidentu gadījumā apturēt saistītos lietotāju kontus un atcelt tiem piešķirtās piekļuves tiesības;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šīs prasības izriet, ka kiberdoršības pārvaldniekam ir piešķirtas lietotāju kontu administrēšanas loma.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38.3. kiberincidenta vai pamatotu aizdomu par kiberincidentu gadījumā pieprasīt apturēt saistītos lietotāju kontus un pieprasīt atcelt tiem piešķirtās piekļuves tiesības;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Sandis Vulis (TNA)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 Subjekts nodrošina informācijas sistēmu auditācijas pierakstu un tīkla plūsmas auditācijas pierakstu veidošanu un uzglabāšanu. Auditācijas pierakstus uzglabā: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sniegt pamatojumu noteikumu projekta anotācijas 40. punkta apakšpunktos noteiktajiem datu glabāšanas termiņam katrai kategorijai.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Bezdelīga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 Auditācijas pierakstus veido mašīnlasāmā formātā. Pārvaldot auditācijas pierakstus, subjekts ievēro sistēmiskus drošības principus, lai nodrošinātu ticamu IKT notikumu reģistrēšanu un efektīvu kiberincidentu analīzi.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Tiesiskās noteiktības nolūkā lūdzam noteikumu projektā vai tā anotācijā skaidrot, kas ir domāts ar sistēmiskiem drošības principiem, tostarp nepieciešamības gadījumā norādot uz normatīvajiem aktiem, kur šie principi ir konkretizēti.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51.2.1. A kategorijas informācijas sistēmai – iepriekšējā dienā, iepriekšējā nedēļā, iepriekšējā mēnesī, iepriekšējā gadā;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Rezerves kopēšanas mērķis ir atjaunot sistēmas darbību pēc tehnisko resursu bojājuma nevis atgriezties kādā no versijām, kas vairs faktiski (gadu veca kopija) nav izmantojama. Pie šāda scenārija neviens nevar būt drošs, ka kaut kādā datumā izveidota gada kopija būs izmantojama sistēmas atjaunošanai un tā saturēs nepieciešamos datus. Ja tomēr ir nepieciešams glabāt gadu vai mēnesi kopijas, tad būtu jānorāda kurā datumā.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Ilgtermiņa glabāšanu parasti izmanto arhivēšanas nolūkiem.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51.2.1. A kategorijas informācijas sistēmai – katrā no iepriekšējām četrpadsmit dienām.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Sandis Vulis (TNA)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51.2.2. B kategorijas informācijas sistēmai – iepriekšējā nedēļā, iepriekšējā mēnesī, iepriekšējā gadā;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Rezerves kopēšanas mērķis ir atjaunot sistēmas darbību pēc tehnisko resursu bojājuma nevis atgriezties kādā no versijām, kas vairs faktiski (mēnesi veca kopija) nav izmantojama. Pie šāda scenārija neviens nevar būt drošs, ka kaut kādā datumā izveidota mēneša kopija būs izmantojama sistēmas atjaunošanai un tā saturēs nepieciešamos datus. Ja tomēr ir nepieciešamas mēneša kopijas, tad būtu jānorāda kurā datumā.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Ilgtermiņa glabāšanu parasti izmanto arhivēšanas nolūkiem.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51.2.2. B kategorijas informācijas sistēmai – iepriekšējās septiņas dienās,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Sandis Vulis (TNA)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51.2.3. C kategorijas informācijas sistēmai – iepriekšējā mēnesī, iepriekšējā gadā.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Rezerves kopēšanas mērķis ir atjaunot sistēmas darbību pēc tehnisko resursu bojājuma nevis atgriezties kādā no versijām, kas vairs faktiski (mēnesi veca kopija) nav izmantojama. Pie šāda scenārija neviens nevar būt drošs, ka kaut kādā datumā izveidota mēneša kopija būs izmantojama sistēmas atjaunošanai un tā saturēs nepieciešamos datus. Ja tomēr ir nepieciešamas mēneša kopijas, tad būtu jānorāda kurā datumā.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Ilgtermiņa glabāšanu parasti izmanto arhivēšanas nolūkiem.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51.2.3. C kategorijas informācijas sistēmai – iepriekšējā darba dienā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Sandis Vulis (TNA)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60. IKT personāla apmācības organizē vismaz reizi gadā, taču kiberdrošības pārvaldnieks ir tiesīgs samazināt apmācību periodiskumu (piemēram, identificējot būtisku jaunu risku, ievainojamību vai kiberapdraudējumu), ņemot vērā aktuālo kiberapdraudējuma līmeni un subjekta darbības specifiku.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skaidrot noteikumu projekta 60. punkta atbilstību Nacionālā kiberdrošības likuma 25. panta piektās daļas 4. punktā noteiktajam un nepieciešamības gadījumā svītrot vai precizēt minēto noteikumu projekta punktu, nedublējot minēto likumu.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64. Būtisko pakalpojumu sniedzējs ņem vērā Nacionālā kiberdrošības centra sadarbība ar Satversmes aizsardzības biroju izstrādātās vadlīnijas šifrēšanas risinājumu izmantošanai. Vadlīnijas Nacionālais kiberdrošības centrs publicē savā mājaslapā internetā, vismaz reizi gadā tās pārskata un nepieciešamības gadījumā aktualizē.</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noteikumu Nr. 108 131. punktam noteikumu projektā nav pieļaujamas atsauces uz privātpersonām juridiski nesaistošām vadlīnijām, kas publicētas iestāžu mājaslapā, tādēļ lūdzam svītrot noteikumu projekta 64. punkta pirmo teikumu un nepieciešamības gadījumā citas noteikumu projekta normas. Nepieciešamības gadījumā lūdzam attiecīgās vadlīniju prasības pārņemt noteikumu projekta tekstā.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66. Ja būtisko pakalpojumu sniedzējs tā īpašumā vai valdījumā esošās informācijas sistēmas uzturēšanai neizmanto datu centru, kurš atbilst normatīvajiem aktiem par datu centru drošību, būtisko pakalpojumu sniedzējs nodrošina, ka tā IKT infrastruktūra vai izmantotais datu centrs, kurā uztur A vai B kategorijas informācijas sistēmu, atbilst vismaz šādām prasībām: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66. punktā ietverto atsauci uz normatīvajiem aktiem par datu centru drošību, ņemot vērā, ka pirmšķietami attiecīgi normatīvie akti nav atrodami vai alternatīvi lūdzam skaidrot, vai tiks nodrošināta minēto normatīvo aktu spēkā stāšanās vienlaikus ar noteikumu projektu. Vēršam uzmanību, ka atbilstoši juridiskās tehnikas prasībām noteikumu projektā pieļaujams atsaukties vienīgi uz normatīvajiem aktiem, kuri ir spēkā stājušies vai stāsies spēkā vienlaikus ar noteikumu projektu.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66.1. aparatūra ir izvietota atsevišķā slēdzamā telpā vai slēdzamās statnēs (skapjos);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noteikumu projekta 66.1. apakšpunktā izvairīties no pieturzīmju iekavas lietojuma. Norādām, ka šobrīd no 66.2. apakšpunkta neizriet, vai šajā apakšpunktā iekļautā prasība arī attiecas uz skapjiem. Skaidrojam, ka atbilstoši juridiskās tehnikas prasībām termins ir jālieto vienā nozīmē, un tas nav aizstājams ar sinonīmiem.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66.7. atbildīgie nodarbinātie ir informēti par kārtību un rīcību ugunsgrēka gadījumā;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svītrot noteikumu projekta 66.7. apakšpunktu, kas daļēji dublē 66.11. apakšpunktā noteikto. Ja tas ir nepieciešams, lūdzam atbilstoši papildināt noteikumu projekta 66.11. apakšpunktu.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69.1. iespējamību, ka iekārtas vai programmatūras izstrādātājs, ražotājs, izplatītājs vai ārpakalpojuma sniedzējs varētu būt pakļauts tādas valsts ietekmei: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anotācijā skaidrot, konkrēti kā tiks vērtēta </w:t>
            </w:r>
            <w:r w:rsidR="00000000" w:rsidRPr="00000000" w:rsidDel="00000000">
              <w:rPr>
                <w:i w:val="1"/>
                <w:rtl w:val="0"/>
              </w:rPr>
              <w:t xml:space="preserve">iespējamība</w:t>
            </w:r>
            <w:r w:rsidR="00000000" w:rsidRPr="00000000" w:rsidDel="00000000">
              <w:rPr>
                <w:rtl w:val="0"/>
              </w:rPr>
              <w:t xml:space="preserve">, ka iekārtas vai programmatūras izstrādātājs, ražotājs, izplatītājs vai ārpakalpojuma sniedzējs varētu būt pakļauts tādas valsts ietekmei. Norādām, ka, piemērojot fiziskai vai juridiskai personai pamattiesību ierobežojošu normu, katram kritērijam noteikumu projektā, un pēc tam arī Satversmes aizsardzības biroja atzinumā, jābūt skaidri pamatotam. Lūdzam izvērtēt vai normā nav svītrojama norāde uz iespējamību, vai sniegt noteikumu projekta anotācijā skaidrojumu šādas normas saturam.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Bezdelīga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69.1.1. kas nav NATO, Eiropas Savienības vai Eiropas Ekonomikas zonas dalībvalsts,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anotācijā sniegt plašāku skaidrojumu noteikumu projekta 69.1.1. apakšpunktā norādītajam kritērijam, lai nepieļautu, ka tiek ierobežotas iekārtas vai programmatūras izstrādātāja, ražotāja, izplatītāja vai ārpakalpojuma sniedzēja pamattiesības tikai pamatojoties uz izcelsmes valsti, pilsonību.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Bezdelīga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69.1.4. kurā nepastāv demokrātiska pārvaldes forma vai ar kuru nav nolīguma drošības vai datu aizsardzības jomā,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69.1.4. apakšpunktu, sniedzot atbilstošu skaidrojumu, kas paredz tiesības ierobežot iekārtas vai programmatūras izstrādātāja, ražotāja, izplatītāja vai ārpakalpojuma sniedzēja pamattiesības, paredzot tiesības izdot Satversmes aizsardzības birojam atzinumu, pamatojoties uz to, ka iekārtas vai programmatūras izstrādātājs, ražotājs, izplatītājs vai ārpakalpojuma sniedzēja izcelsmes valsts varētu būt valsts, kurā nav demokrātiska pārvaldes forma. Norādām, ka bez demokrātiskas valdes pārvaldes formas, ir arī citas valsts pārvaldes formas, kas nedod pamatu uzskatīt valsti par nedrošu un ierobežot šajā valstī ražotu iekārtu vai programmatūru, vēl jo vairāk, ja iekārta vai programmatūra ir vai 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sertificēta atbilstoši kvalitātes un drošības atbilstības prasībām, ko izvirza Eiropas Savienības tiesību akti (piemēram Eiropas Savienības iekārtu drošību reglamentējošās regulas), vai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iekārtas reģistrētas un laistas apgrozībā Eiropas Savienības dalībvalstīs atbilstoši Eiropas Savienības tiesību aktiem.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sniegt pamatojumu nolīguma drošības vai datu aizsardzības jomā iekļautajam kritērijam, norādot, kāda ir šī kritērija globāla prakse. Tāpat nepieciešams izvērtēt, vai šāds kritērijs nepamatoti neierobežos iekārtas vai programmatūras izstrādātāja, ražotāja, izplatītāja vai ārpakalpojuma sniedzēja pamattiesības, ņemot vērā to, ka katra iekārta un programmatūra, neņemot vēra to vai šāds nolīgums pastāv ar tā izcelsmes valsti, var būt atzīta par drošu Eiropas Savienībā. Vienlaikus lūdzam iekļaut noteikumu projekta anotācijā izvērtējumu, kā iekārtas vai programmatūra, uz kuru attiecas kritērijs par nolīgumu drošības vai datu aizsardzības jomā, prevalē par Eiropas Savienības drošības standartiem atbilstošu iekārtu vai programmatūru.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Bezdelīga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69.1.6. kura spēj veikt jebkāda veida ietekmēšanu, tostarp attiecībā uz iekārtas vai programmatūras ražošanas vai izstrādes vietu;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sniegt noteikumu projekta anotācijā pamatojumu, kā tiks izvērtēts noteikumu projekta 69.1.6. apakšpunkta kritērijs. Norādām, ka jebkura valsts spēj veikt jebkāda veida ietekmēšanu. Attiecīgi nepieciešams projekta anotācijā skaidrot kāda veida ietekmēšana minētajā kritērijā tiek aptverta un kā tā tiek izvērtēta, piemērojot šādu kritēriju.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Bezdelīga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69.2.1. patieso labuma guvēju un īpašnieku struktūru,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sniegt pamatojumu noteikumu projekta anotācijā 69.2.1. apakšpunkta kritērijam, norādot, kā Satversmes aizsardzības birojs izvērtēs, ka iekārtas, programmatūras un ārpakalpojumam, izmantošana var radīt draudus nacionālajai drošībai, pamatojoties uz kritēriju - patieso labuma guvēju un īpašnieku struktūru.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Bezdelīga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69.2.2. saikni ar valsti, kas atbilst šo noteikumu </w:t>
            </w:r>
            <w:r w:rsidR="00000000" w:rsidRPr="00000000" w:rsidDel="00000000">
              <w:rPr>
                <w:rtl w:val="0"/>
              </w:rPr>
              <w:t xml:space="preserve">69.1.</w:t>
            </w:r>
            <w:r w:rsidR="00000000" w:rsidRPr="00000000" w:rsidDel="00000000">
              <w:rPr>
                <w:rtl w:val="0"/>
              </w:rPr>
              <w:t xml:space="preserve"> apakšpunktā minētajiem kritērijiem,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sniegt noteikumu projekta anotācijā pamatojumu noteikumu projekta 69.2.2. apakšpunkta kritērijam un skaidrot, kā minētā saikne var radīt draudus nacionālai drošībai.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Bezdelīga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69.2.3. spēju nodrošināt piegādi vai sniegt pakalpojumu,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sniegt noteikumu projekta anotācijā atbilstošu pamatojumu noteikumu projekta 69.2.3. apakšpunkta kritērijam, norādot, kā Satversmes aizsardzības biroja atzinums, ar kuru iekārta, programmatūra un ārpakalpojuma izmantošana var radīt draudus nacionālajai drošībai, ir salāgojams ar kritēriju - spēju nodrošināt piegādi vai sniegt pakalpojumu. Vēršam uzmanību, ka katram kritērijam ir jābūt pamatotam, ņemot vēra to, ka tie uz Satversmes aizsardzības biroja atzinuma pamata var ierobežot iekārtas, programmatūras izstrādāja, ražotāja, izplatītāja, ārpakalpojuma sniedzēja pamattiesības. Ne no noteikumu projekta, ne no tā anotācijas nav nolasāms, kā Satversmes aizsardzības birojs vērtēs spēju nodrošināt piegādi vai sniegt pakalpojumus un kādēļ šāds kritērijs ir sasaistīts ar nacionālās drošības riskiem.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Bezdelīga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70.2. izvērtē publisko elektronisko sakaru tīklu kritiskajās daļās izmantoto iekārtu, programmatūru un ārpakalpojumu iespējamo ietekmi uz nacionālo drošību;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anotācijā skaidrot, konkrēti kā tiks vērtēta - iespējamība, ka iekārtas vai programmatūras izstrādātājs, ražotājs, izplatītājs vai ārpakalpojuma sniedzējs varētu būt pakļauts tādas valsts ietekmei. Norādām, ka, piemērojot fiziskai vai juridiskai personai pamattiesību ierobežojošu normu, katram kritērijam noteikumu projektā un pēc tam ari Satversmes aizsardzības biroja atzinumā jābūt skaidri pamatotam. Lūdzam izvērtēt, vai normā nav svītrojama norāde uz iespējamību, vai sniegt noteikumu projekta anotācijā skaidrojumu šādas normas saturam.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Bezdelīga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76. Ja būtisko pakalpojumu sniedzējs uzsāk iepirkumu par jaunas informācijas sistēmas izstrādi, tas iepirkuma specifikācijā iekļauj informācijas sistēmas veidam atbilstošas kiberdrošības prasības, kā arī paredz:</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noteikumu projektā vai tā anotācijā skaidrot, kas ir domāts ar atbilstošām kiberdrošības prasībām (nepieciešamības gadījumā izdarot atsauci uz konkrētām noteikumu projekta normām) un kā minēto prasību atbilstība būtu novērtējama, tādējādi atvieglojot noteikumu projekta piemērošanu praksē.</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80. Līgumu par IKT pakalpojumu, visu veidu tehnisko resursu iegādi un uzturēšanu A kategorijas informācijas sistēmām, kā arī līgumu par maršrutētāju, komutatoru, ārējo ugunsmūru, ielaušanās atklāšanas sistēmu, pretielaušanās sistēmu, antivīrusu programmatūru iegādi B kategorijas informācijas sistēmām, kā arī par tādu pakalpojumu, programmatūru vai iekārtu iegādi, kas nodrošina B kategorijas informācijas sistēmu aizsardzības un uzraudzības funkcijas, atļauts slēgt tikai ar:</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Satversmes tiesā ir aktualizēta lieta par pamattiesību ierobežojumu līdzīga satura normai, ņemot vērā to, ka norma tās iepriekšējā redakcijā ir tikusi attiecināta uz ar projektu nesaistītu iekārtu. Līdz šim, atbilstoši Satversmes tiesas kolēģijas 2024. gada 23. augusta lēmumam (pieteikums Nr. 93/2024), vienīgais šķērslis konstitucionālās sūdzības ierosināšanai ir vispārējo tiesību aizsardzības līdzekļu iziešana, jo pēc minēta lēmuma (lēmuma 6.4. apakšpunkts) Satversmes tiesas kolēģija norādījusi, ka pieteikums par apstrīdētās normas atbilstību Satversmes 105. panta pirmajiem trīs teikumiem atbilst Satversmes tiesas likuma 19.2 panta pirmās daļas un sestās daļas 1. punkta prasībām, attiecīgi būtu vērtējams pamattiesību ierobežojums (jo Pieteikuma iesniedzējas ieskatā apstrīdētā norma ierobežo tiesības veikt uzņēmējdarbību. Proti, apstrīdētajā normā izvirzītās prasības Pieteikuma iesniedzējai liedz sniegt konkrētus pakalpojumus medicīnisko laboratorijas iekārtu uzstādīšanā kritiskās infrastruktūras īpašniekiem un pamatpakalpojuma sniedzējiem, tādējādi ierobežojot preču brīvu apriti. Tāpēc apstrīdētā norma aizskarot Pieteikuma iesniedzējas Satversmes 105. pantā ietvertās pamattiesības).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Tieslietu ministrija konstatē, ka ir pamats secināt, ka norma, kas ir piemērota no Ministru kabineta 2015. gada 28. jūlija noteikumiem Nr. 442 "Kārtība, kādā tiek nodrošināta informācijas un komunikācijas tehnoloģiju sistēmu atbilstība minimālajām drošības prasībām" (turpmāk - MK noteikumi Nr.442), ir pamattiesību ierobežojoša, attiecīgi lūdzam izvērtēt vai no MK noteikumiem Nr.442 pārņemtā minētā norma nav būtiski precizējama, lai novērstu risku nepamatotam pamattiesību ierobežojumam.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ņemot vērā to, ka Satversmes tiesas kolēģija lēmumā ir norādījusi, ka pieteikums ar apstrīdētās normas atbilstību Satversmes 105. panta pirmajiem trīs teikumiem atbilst Satversmes tiesas likuma 19.2 panta pirmās daļas un sestās daļas 1. punkta prasībām, vispārēja prakse pēc vispārējo tiesību aizsardzības līdzekļu iziešanas ir pieteicēja vēršanās Satversmes tiesā lūdzot atzīt šāda satura normu (MK noteikumos Nr.442) par neatbilstošu Satversmei.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laicīgi novērst iespējamību, ka no MK noteikumiem Nr. 442 pārņemtās normas varētu nepamatoti ierobežot pamattiesības.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Bezdelīga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80.2. fizisku personu, kura ir NATO, Eiropas Savienības vai Eiropas Ekonomikas zonas valsts pilsonis;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anotācijā sniegt plašāku skaidrojumu noteikumu projekta 80.2. apakšpunktā norādītajam kritērijam, lai nepieļautu, ka tiek ierobežotas iekārtas vai programmatūras izstrādātāja, ražotāja, izplatītāja vai ārpakalpojuma sniedzēja pamattiesības tikai pamatojoties uz izcelsmes valsti, pilsonību. Ņemot vēra to, ka norma var ierobežot fiziskas personas pamattiesības, ir jābūt skaidram pamatojumam attiecībā uz katru kritēriju.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Bezdelīga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80.3. citu personu, ja ir saņemta kompetentās valsts drošības iestādes atļauja.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noteikumu projekta 80. punkts jau regulē kritērijus attiecībā uz fizisku un juridisku personu, lūdzam noteikumu projekta anotācijā skaidrot, kas ir saprotams ar 80.3. apakšpunktā norādīto subjektu.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Bezdelīga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81.2. citas valsts teritorijā, ja ir saņemta kompetentās valsts drošības iestādes atļauja.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noteikumu projekta anotācijā, kas tiek vērtēts, lai saņemtu kompetentās valsts drošības iestādes atļauju, ja A drošības klases informācijas resursu elektroniskā apstrāde notiek citas valsts teritorijā.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Bezdelīga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82. Ja attiecināms, būtisko pakalpojumu sniedzējs, slēdzot vispārīgo vienošanos, ietver norādi uz šo noteikumu </w:t>
            </w:r>
            <w:r w:rsidR="00000000" w:rsidRPr="00000000" w:rsidDel="00000000">
              <w:rPr>
                <w:rtl w:val="0"/>
              </w:rPr>
              <w:t xml:space="preserve">80.</w:t>
            </w:r>
            <w:r w:rsidR="00000000" w:rsidRPr="00000000" w:rsidDel="00000000">
              <w:rPr>
                <w:rtl w:val="0"/>
              </w:rPr>
              <w:t xml:space="preserve"> un </w:t>
            </w:r>
            <w:r w:rsidR="00000000" w:rsidRPr="00000000" w:rsidDel="00000000">
              <w:rPr>
                <w:rtl w:val="0"/>
              </w:rPr>
              <w:t xml:space="preserve">81.</w:t>
            </w:r>
            <w:r w:rsidR="00000000" w:rsidRPr="00000000" w:rsidDel="00000000">
              <w:rPr>
                <w:rtl w:val="0"/>
              </w:rPr>
              <w:t xml:space="preserve"> punktā noteiktajiem ierobežojumiem, kas piemērojami, vienošanās ietvaros slēdzot iepirkuma līgumus šajā punktā minēto preču vai pakalpojumu iegādei.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anotācijā skaidrot, kā būtisko pakalpojumu sniedzējs izvērtēs, vai noteikumu 80. un 81. punkts ir attiecināms.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lūdzam izvērtēt, vai norma, kas paredz vienošanās ietvaros slēgta iepirkuma līguma prasības, nepārkāpj deleģējums robežas un ir atbilstoša Publiska iepirkuma likumam, un kādas sekas noteikumu projekta 82. punkts var sagādāt publisko iepirkumu procesam.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Bezdelīga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84. Ārpakalpojuma līgumu izbeidz:</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anotācijā skaidrot, vai noteikumu projekta 84. pants nepārkāpj deleģējuma robežas, un kā noteikumu projekta 84. punkts atbilst Publisko iepirkumu likumam.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Bezdelīga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84.2. ja ir saņemts kompetentās valsts drošības iestādes atzinums, ka līguma turpināšana ir pretrunā ar nacionālās drošības interesēm;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 noteikumu projekta nav saprotams, kādus kritērijus piemēros kompetentā valsts drošības iestāde, izvērtējot to, vai līguma slēgšana vai turpināšana ir pretrunā nacionālās drošības interesēm. Norādām, ka, piemērojot sekas, kas fiziskai vai juridiskai personai rada pamattiesību ierobežojumu, ir jābūt pilnīgi skaidriem kritērijiem. Tāpat norādām, ka šāda valsts drošības iestādes atzinuma izdošanai ir jābūt ar konkrētu pamatojumu, un tikai pie konkrētiem un pamatotiem apstākļiem paredzot atzinumu par līguma slēgšanu vai turpināšanu.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Bezdelīga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87. Satversmes aizsardzības birojs var pārbaudīt IKT kritiskās infrastruktūras nodarbinātos, kā arī, ja komersants sniedz pakalpojumus kritiskajā infrastruktūrā, komersanta īpašnieku, valdes locekļus un nodarbinātos, kuriem ir pieeja kritiskās infrastruktūras funkcionēšanai nozīmīgai informācijai vai tehnoloģiskajām iekārtām vai kuri sniedz kritiskās infrastruktūras funkcionēšanai nozīmīgus pakalpojumus, un izvērtēt informāciju attiecībā uz personas sodāmību par tīšu noziedzīgu nodarījumu un faktiem, kas dod pamatu apšaubīt tās spēju saglabāt ierobežotas pieejamības vai klasificētu informāciju. Pamatojoties uz pārbaudes rezultātiem, Satversmes aizsardzības birojs sniedz IKT kritiskās infrastruktūras īpašniekam vai tiesiskajam valdītājam ieteikumus par drošības pasākumu veikšanu.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noteikumu projekta 87. punkts ne tikai pārkāpj deleģējumu, bet arī neatbilst Publisko iepirkumu ielikumam (likuma 42. panta piektajai daļa jau regulē minēto attiecībā uz pasūtītāja pienākumiem publisko iepirkumu procesā). Attiecīgi lūdzam izvērtēt un svītrot minēto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Bezdelīga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87. Satversmes aizsardzības birojs var pārbaudīt IKT kritiskās infrastruktūras nodarbinātos, kā arī, ja komersants sniedz pakalpojumus kritiskajā infrastruktūrā, komersanta īpašnieku, valdes locekļus un nodarbinātos, kuriem ir pieeja kritiskās infrastruktūras funkcionēšanai nozīmīgai informācijai vai tehnoloģiskajām iekārtām vai kuri sniedz kritiskās infrastruktūras funkcionēšanai nozīmīgus pakalpojumus, un izvērtēt informāciju attiecībā uz personas sodāmību par tīšu noziedzīgu nodarījumu un faktiem, kas dod pamatu apšaubīt tās spēju saglabāt ierobežotas pieejamības vai klasificētu informāciju. Pamatojoties uz pārbaudes rezultātiem, Satversmes aizsardzības birojs sniedz IKT kritiskās infrastruktūras īpašniekam vai tiesiskajam valdītājam ieteikumus par drošības pasākumu veikšanu.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Nacionālās kiberdrošības likuma 24. panta otrajā daļā dotais deleģējums Ministru kabinetam paredz, ka informācijas un komunikācijas tehnoloģiju kritiskās infrastruktūras drošības prasības, pasākumus un to plānošanas un īstenošanas kārtību nosaka Ministru kabinets. Ievērojot minēto, lūdzam izvērtēt, vai noteikumu projekta 87. punktā ietvertā norma atbilst šim deleģējumam.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izriet no noteikumu projekta 87. punkta, Satversmes aizsardzības birojam būs tiesības pārbaudīt informāciju attiecībā uz personas sodāmību par tīšu noziedzīgu nodarījumu un faktiem, kas dod pamatu apšaubīt tās spēju saglabāt </w:t>
            </w:r>
            <w:r w:rsidR="00000000" w:rsidRPr="00000000" w:rsidDel="00000000">
              <w:rPr>
                <w:u w:val="single"/>
                <w:rtl w:val="0"/>
              </w:rPr>
              <w:t xml:space="preserve">ierobežotas pieejamības vai klasificētu informāciju</w:t>
            </w:r>
            <w:r w:rsidR="00000000" w:rsidRPr="00000000" w:rsidDel="00000000">
              <w:rPr>
                <w:rtl w:val="0"/>
              </w:rPr>
              <w:t xml:space="preserve">. Vēršam uzmanību, ka atbilstoši likumam "Par valsts noslēpumu" jau ir noteikta kārtība valsts noslēpuma aizsardzībai, kā arī izvirzītas prasības personām, lai saņemtu pieeju valsts noslēpumam. Savukārt ierobežotas pieejamības informācijas aizsardzību regulē Informācijas atklātības likums. Ievērojot minēto, Tieslietu ministrijas ieskatā projekta 87. punkts ir svītrojams.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Agnese Sermā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 Kiberincidentu nozīmīguma kritēriji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noteikumu projekta anotācijā skaidrot šo noteikumu 7.1. apakšnodaļā ietverto kritēriju atbilstību direktīvas Nr. 2022/2555 23. panta 3. punktā noteiktajam vai atbilstoši precizēt minēto apakšnodaļu.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96.3. auditoram ir tehniskas iespējas noteikt subjekta tīklu, informācijas sistēmu, IKT resursu un procedūru drošību atbilstību normatīvo aktu prasībām;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96.3. apakšpunktu papildināt ar atsauci uz konkrētu normatīvo aktu jomu, ievērojot noteikumu Nr. 108 137. punktā noteikto.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99. Digitālās drošības uzraudzības komiteja izslēdz auditoru no auditoru saraksta, 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noteikumu projekta 99. punktu vai pamatot tajā ietvertā regulējuma atbilstību Nacionālās kiberdrošības likuma 44. panta otrās daļas otrajā teikumā Ministru kabinetam dotajam pilnvarojumam, kas paredz, ka Ministru kabinets nosaka kiberdrošības auditoram izvirzāmās prasības un kiberdrošības auditoru reģistrācijas kārtību. Vēršam uzmanību uz to, ka pilnvarojumā paredzētā auditoru reģistrācijas kārtība dod tiesības Ministru kabinetam noteikt sākotnējo lēmumu pieņemšanas kārtību, proti, lēmumu reģistrēt auditoru vai atteikt reģistrēt auditoru. Administratīvā procesa likuma 11. pants paredz, ka privātpersonai nelabvēlīgu administratīvo aktu izdot var uz Satversmes, likuma, kā arī uz starptautisko tiesību normas pamata. Ministru kabineta noteikumi var būt par pamatu šādam administratīvajam aktam tikai tad, ja Satversmē, likumā vai starptautisko tiesību normā tieši vai netieši ir ietverts pilnvarojums Ministru kabinetam, izdodot noteikumus, tajos paredzēt šādus administratīvos aktus.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 Digitālās drošības uzraudzības komitejas lēmums par auditora reģistrāciju, auditora reģistrācijas datu precizēšanu vai izslēgšanu no auditoru saraksta ir administratīvais akts.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noteikumu projekta 100. punktu, ņemot vērā to, ka attiecīgā norma ir deklaratīva. Vēršam uzmanību uz to, ka lēmumi, kas tiek pieņemti saistībā ar auditoru reģistrāciju, ir administratīvie akti, ja tie atbilst Administratīvā procesa likuma 1. panta trešajā daļā paredzētajām administratīvā akta pazīmēm. No noteikumu projektā ietvertā auditoru reģistrācijas procesa secināms, ka šie lēmumi būs administratīvie akti.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114. Kiberincidentu novēršanas institūcija savlaicīgi informē subjektu par agrās brīdināšanas sensora uzstādīšanu subjekta IKT infrastruktūrā, agrās brīdināšanas sensora uzturēšanai nepieciešamajiem apkopes darbiem un agrās brīdināšanas sensora demontāžu.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noteikumu projekta 114. punktā paredzēt konkrētu termiņu, kādā subjekts informējams par agrās brīdināšanas sensora uzstādīšanu, ievērojot, ka norāde uz savlaicīgu informēšanu varētu būt pārāk vispārīga un apgrūtinoši piemērojama praksē.</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8.6. Neatbilstību novēršana valsts un pašvaldību institūcijās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precizēt noteikumu projekta 8.6. apakšnodaļu, svītrojot tajā regulējumu, kas attiecas uz neatbilstības novēršanas kārtību (piem., lemšanu par atbildību, disciplinārlietu ierosināšanu, lēmumu pieņemšanas kārtību par neatbilstību novēršanu), ņemot vērā, ka pilnvarojums noteikt neatbilstības novēršanas kārtību, Nacionālās kiberdrošības likumu izskatot Saeimā, no minētā likuma ir izslēgts, turklāt attiecīgie jautājumi izriet arī no likumiem, piem., no Valsts civildienesta ierēdņu disciplināratbildības likuma. Alternatīvi lūdzam noteikumu projekta anotācijā sniegt izvērstu pamatojumu par minētās apakšnodaļas regulējuma atbilstību noteikumu projekta izdošanas tiesiskajam pamatam.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 Ja subjekts, kurš ir iepriekšējos divos punktos neminēta valsts vai pašvaldības institūcija, neveic visus nepieciešamos, piemērotos un samērīgos pasākumus konstatētās neatbilstības novēršanai, Nacionālais kiberdrošības centrs par konstatēto neatbilstību ziņo Ministru kabinetam. Ministru kabinets lemj par turpmāko rīcību neatbilstības novēršanai.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vai ir pamatoti attiecīgajos gadījumos informēt vienīgi Ministru kabinetu, un sniegt noteikumu projekta anotācijā atbilstoši skaidrojumu, nepieciešamības gadījumā precizējot noteikumu projekta 120. punktu. Norādām, ka ar valsts institūciju varētu arī saprast citas institūcijas, kuras nav Ministru kabineta padotībā.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 Ja subjekts, kurš ir iepriekšējos divos punktos neminēta valsts vai pašvaldības institūcija, neveic visus nepieciešamos, piemērotos un samērīgos pasākumus konstatētās neatbilstības novēršanai, Nacionālais kiberdrošības centrs par konstatēto neatbilstību ziņo Ministru kabinetam. Ministru kabinets lemj par turpmāko rīcību neatbilstības novēršanai.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atbilstoši noteikumu projekta 1.19. apakšpunktam nosakāma ir kārtība ziņošanai par tiešās vai </w:t>
            </w:r>
            <w:r w:rsidR="00000000" w:rsidRPr="00000000" w:rsidDel="00000000">
              <w:rPr>
                <w:u w:val="single"/>
                <w:rtl w:val="0"/>
              </w:rPr>
              <w:t xml:space="preserve">pastarpinātās pārvaldes iestādēm</w:t>
            </w:r>
            <w:r w:rsidR="00000000" w:rsidRPr="00000000" w:rsidDel="00000000">
              <w:rPr>
                <w:rtl w:val="0"/>
              </w:rPr>
              <w:t xml:space="preserve">, citām valsts institūcijām un </w:t>
            </w:r>
            <w:r w:rsidR="00000000" w:rsidRPr="00000000" w:rsidDel="00000000">
              <w:rPr>
                <w:u w:val="single"/>
                <w:rtl w:val="0"/>
              </w:rPr>
              <w:t xml:space="preserve">atvasinātajām publiskajām personām</w:t>
            </w:r>
            <w:r w:rsidR="00000000" w:rsidRPr="00000000" w:rsidDel="00000000">
              <w:rPr>
                <w:rtl w:val="0"/>
              </w:rPr>
              <w:t xml:space="preserve">, kuras nepilda Nacionālās kiberdrošības likumā minētos lēmumus, attiecīgi no noteikumu projekta 120. punkta un tā anotācijas neizriet, kas ir domāts ar pašvaldības institūcijām un kādēļ uz šīm institūcijām nav attiecināms 119. punkts. Ievērojot minēto, lūdzam izvērtēt un svītrot noteikumu projekta 120. punktā ietverto norādi uz pašvaldības institūciju vai sniegt atbilstošu skaidrojumu par minēto noteikumu projekta anotācijā.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125.5. Ministru kabineta 2011. gada 26. aprīļa noteikumus Nr. 327 "Noteikumi par elektronisko sakaru komersantu rīcības plānā ietveramo informāciju, šā plāna izpildes kontroli un kārtību, kādā galalietotājiem tiek īslaicīgi slēgta piekļuve elektronisko sakaru tīklam un par drošības incidentu būtiskuma kritērijiem" (Latvijas Vēstnesis, 2011, 69. nr.);</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un precizēt noteikumu projektu, nodrošinot, ka par spēku zaudējušiem netiek atzīti Ministru kabineta noteikumi, kuri jau ir zaudējuši spēku, stājoties spēkā Nacionālajam kiberdrošības likumam, piemēram, Ministru kabineta 2011. gada 26. aprīļa noteikumi Nr. 327 "Noteikumi par elektronisko sakaru komersantu rīcības plānā ietveramo informāciju, šā plāna izpildes kontroli un kārtību, kādā galalietotājiem tiek īslaicīgi slēgta piekļuve elektronisko sakaru tīklam un par drošības incidentu būtiskuma kritērijiem", Ministru kabineta 2019. gada 15. janvāra noteikumi Nr. 15 "Noteikumi par drošības incidenta būtiskuma kritērijiem, informēšanas kārtību un ziņojuma saturu".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127. Šo noteikumu </w:t>
            </w:r>
            <w:r w:rsidR="00000000" w:rsidRPr="00000000" w:rsidDel="00000000">
              <w:rPr>
                <w:rtl w:val="0"/>
              </w:rPr>
              <w:t xml:space="preserve">11.</w:t>
            </w:r>
            <w:r w:rsidR="00000000" w:rsidRPr="00000000" w:rsidDel="00000000">
              <w:rPr>
                <w:rtl w:val="0"/>
              </w:rPr>
              <w:t xml:space="preserve">–</w:t>
            </w:r>
            <w:r w:rsidR="00000000" w:rsidRPr="00000000" w:rsidDel="00000000">
              <w:rPr>
                <w:rtl w:val="0"/>
              </w:rPr>
              <w:t xml:space="preserve">63.</w:t>
            </w:r>
            <w:r w:rsidR="00000000" w:rsidRPr="00000000" w:rsidDel="00000000">
              <w:rPr>
                <w:rtl w:val="0"/>
              </w:rPr>
              <w:t xml:space="preserve">, </w:t>
            </w:r>
            <w:r w:rsidR="00000000" w:rsidRPr="00000000" w:rsidDel="00000000">
              <w:rPr>
                <w:rtl w:val="0"/>
              </w:rPr>
              <w:t xml:space="preserve">65.</w:t>
            </w:r>
            <w:r w:rsidR="00000000" w:rsidRPr="00000000" w:rsidDel="00000000">
              <w:rPr>
                <w:rtl w:val="0"/>
              </w:rPr>
              <w:t xml:space="preserve"> un </w:t>
            </w:r>
            <w:r w:rsidR="00000000" w:rsidRPr="00000000" w:rsidDel="00000000">
              <w:rPr>
                <w:rtl w:val="0"/>
              </w:rPr>
              <w:t xml:space="preserve">66.</w:t>
            </w:r>
            <w:r w:rsidR="00000000" w:rsidRPr="00000000" w:rsidDel="00000000">
              <w:rPr>
                <w:rtl w:val="0"/>
              </w:rPr>
              <w:t xml:space="preserve"> punktā noteiktās prasības piemēro no 2025. gada 1. jūlija.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anotāciju papildināt ar detalizētu pamatojumu noteikumu projekta 127.-132. punktā ietvertajiem noslēguma jautājumiem, jo īpaši ņemot vērā Nacionālajā kiberdrošības likumā paredzētos Ministru kabineta noteikumu izdošanas termiņus un to, ka ir nepieciešams laikā pārņemt Eiropas Savienības direktīvu prasības.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Pašvērtējuma ziņojuma veidlapa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pašvērtējuma ziņojuma veidlapu, nodrošinot tās atbilstību noteikumu projekta 17. punktam attiecībā uz kiberdrošības politikā iekļaujamo informāciju, tostarp nodrošinot, ka nedublējas 0304 ailē iekļautā informācija. Norādām, ka atbilstoši juridiskās tehnikas prasībām tiesību aktu pielikumos ietver tehniskos normatīvus, tabulas, veidlapu paraugus, kartes, zīmējumus u.tml. Pielikumos neietver pastāvīgas tiesību normas un normas, kas neizriet no tiesību akta pamatteksta.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ir norādīts, ka "noteikumu projekts paredz, ka kompetentā valsts drošības iestāde pēc savas iniciatīvas var pārbaudīt jebkura subjekta kiberdrošības pārvaldnieka atbilstību minētajām prasībām, par pārbaudes rezultātiem informējot Nacionālo kiberdrošības centru (ja subjekts nav IKT kritiskās infrastruktūras īpašnieks vai tiesiskais valdītājs) un subjekta vadītāju". Lūdzam precizēt, kurā normā šādas kompetentās valsts drošības iestādes tiesības ir noteiktas.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Agnese Sermā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papildināt noteikumu projektu ar regulējumu, kas izriet no Ministru kabineta 2023. gada 28. februāra noteikumiem Nr. 94 "Publisko elektronisko sakaru tīklu drošības prasības", bet nav ietverts noteikumu projektā (piem., bet ne tikai 5. nodaļā "V. Piegādes ķēdes drošība un nepārtrauktība"), tostarp attiecībā arī uz kompetento iestāžu (t.i., ne vien Satversmes aizsardzības birojs) un to funkciju noteikšanu drošības prasību piemērošanas uzraudzībai. Alternatīvi lūdzam sniegt skaidrojumu, kādēļ tas nav nepieciešams. Norādām, ka lielākā daļa minēto Ministru kabineta noteikumu normas paredz pārņemt direktīvas Nr.2018/1972/ES 40. panta 1. punktā iekļautās prasības, tādēļ jo īpaši būtiski nodrošināt minēto prasību pārņemšanas nepārtrauktību.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Ministru kabineta 2021. gada 7. septembra noteikumu Nr. 617 "Tiesību akta projekta sākotnējās ietekmes izvērtēšanas kārtība" 9.19. apakšpunktu, lūdzam: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pirmkārt, papildināt noteikumu projekta anotācijas 5.4. sadaļas 1. tabulu ar informāciju par direktīvas Nr. 2022/2555 10. panta 1. punktā, 11. panta 1. punkta "a" (attiecībā uz komunikācijas kanālu norādīšanu un darīšanu pieejamu noteiktām personām) apakšpunktā, 21. panta 1. punkta otrajā daļā, 21. panta 3. punktā (attiecībā uz prasību ņemt vērā saskaņā ar 22. panta 1. punktu veikto kritisko piegādes ķēžu koordinēto drošības riska novērtējumu rezultātus), 23. panta 4. punkta otrajā daļa (attiecībā uz uzticamības pakalpojuma sniedzēju), 25. panta 1. punktā ietverto prasību pārņemšanu ar noteikumu projektu;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otrkārt, salāgot noteikumu projekta anotācijā ietverto informāciju ar Nacionālā kiberdrošības likuma (likumprojekta) anotācijas attiecīgajā anotācijas sadaļā norādīto informāciju, tostarp norādot arī minētā likuma vienības, ar kurām ir pārņemtas attiecīgās direktīvas normas (piem., minētās direktīvas 21. panta 1. punktā minētās);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treškārt, skaidrot 5.4. sadaļas 1. tabulas rīcības brīvības ailē, vai ir izmantota direktīvas Nr. 2022/2555 24. panta 1. punktā ietvertā rīcības brīvība, kā tā ir izmantota un to, kādēļ minēto rīcības brīvību nolemts izmantot;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visbeidzot, skaidrot direktīvas Nr. 2018/1972/ES prasību pārņemšanu noteikumu projektā.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Tiesību akta projekta izpildes nodrošināšana un tās ietekme uz institūcijām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vadlīnijām tiesību akta projekta sākotnējās ietekmes novērtējuma ziņojuma sagatavošanai vienotajā tiesību aktu izstrādes un saskaņošanas portālā anotācijā ir jāsniedz informācija, kā projekts ietekmēs katru no mērķgrupām – tieši vai netieši, kāds ir mērķgrupas lielums (ja to ir iespējams novērtēt), kā arī jebkādu citu skaidrojošu informāciju par mērķgrupu. Ņemot vērā minēto, lūdzam būtiski papildināt anotācijas 7. sadaļu, jo nav sniegta informācija, kā noteikumu projekts ietekmēs katru institūciju - Aizsardzības ministriju,Satversmes aizsardzības biroju un Militārās izlūkošanas un drošības dienestu.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lūdzam aizpildīt anotācijas 7.2., 7.3. un 7.4. apakšpunktu, sniedzot informāciju, vai attiecīgajām institūcijām administratīvais slogs palielināsies, samazināsies vai paliks nemainīgs. Vēršam uzmanību, ka publiskai pārvaldei slogu aprēķina, sākot no 1 euro.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Bezdelīga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Noteikumi par minimālajām kiberdrošības prasībām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projekkta nosaukumu atbilstoši noteikumu Nr. 108 90. un 91. punktam.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"Minimālo kiberdrošības prasību noteikumi"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 agrīnā brīdinājuma, sākotnējā ziņojuma, starpposma ziņojuma, progresa ziņojuma un galaziņojuma par nozīmīgu kiberincidentu saturu un ziņojuma iesniegšanas kārtību;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atbilstoši Nacionālās kiberdrošības likuma 34. panta septītajā daļā noteiktajam.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 agrīnā brīdinājuma, sākotnējā ziņojuma, starpposma ziņojuma, progresa ziņojuma un galaziņojuma par nozīmīgu kiberincidentu saturu un iesniegšanas kārtību;"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Noteikumos lietotie termini: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iekļaut skaidrojumu (definīciju) terminam "tīkls"'. Noteikumos dažkārt ir lietots termins "elektronisko sakaru tīkls" vai "subjekta tīkls". Piedāvājam izmantot terminu "datu pārraides tīkls" ar skaidrojumu "Datu pārraides tīkls ir IKT risinājums, kas nodrošina datu apmaiņu starp dažādām ierīcēm (datoriem)."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2.22. </w:t>
            </w:r>
            <w:r w:rsidR="00000000" w:rsidRPr="00000000" w:rsidDel="00000000">
              <w:rPr>
                <w:b w:val="1"/>
                <w:rtl w:val="0"/>
              </w:rPr>
              <w:t xml:space="preserve">tehniskā resursa administrators</w:t>
            </w:r>
            <w:r w:rsidR="00000000" w:rsidRPr="00000000" w:rsidDel="00000000">
              <w:rPr>
                <w:rtl w:val="0"/>
              </w:rPr>
              <w:t xml:space="preserve"> – tehniskā resursa privileģēts lietotājs, kura amata pienākumos ir nodrošināt tehniskā resursa darbību atbilstoši tā uzdevumiem;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juridiskās tehnikas prasībām lūdzam svītrot noteikumu projekta 2.22. apakšpunktu vai precizēt citas noteikumu projekta vienības, ievērojot, ka minētais termins noteikumu projekta pamattekstā netiek lietots.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Subjekts izstrādā, uztur un regulāri, bet ne retāk kā reizi trijos gados pārskata un nepieciešamības gadījumā aktualizē kiberdrošības politiku, ņemot vērā identificētos kiberriskus, veiktos kiberdrošības auditus, pārbaudes un ielaušanās testus, tajos konstatētās neatbilstības, ievainojamības un kiberapdraudējumus un to novēršanas gaitu, kā arī Nacionālā kiberdrošības centra un Satversmes aizsardzības biroja izdotos lēmumus, pieprasījumus un subjektam uzliktos tiesiskos pienākumus un to izpildi.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noteikumu projekta 14. pielikumā svītrot norādi, ka subjektam jāsniedz skaidrojums, ja kiberdrošības politika tikusi pārskatīta retāk, nekā reizi gadā, ievērojot, ka atbilstoši noteikumu projekta 16. punktā noteiktajam pieļaujams pārskatīt minēto politiku reizi trijos gados.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 Kiberincidentu pārvaldība un kiberincidentu žurnāls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3.6. nodaļu nosaukt atbilstoši tās saturam un 5.pielikumā norādītajai tipoloģijai.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 Kiberincidentu un gandrīz notikušu kiberincidentu pārvaldība un kiberincidentu gandrīz notikušu kiberincidentu žurnāls.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Sandra Zariņa (TNA)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30.1. nodarbināto lomas un atbildību kiberincidenta pazīmju konstatēšanas gadījumā vai informācijas saņemšanas gadījumā par iespējamo kiberincidentu;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ar iespējamo kiberincidentu ir domāts gandrīz noticis kiberincidents, lūdzam izvērtēt un  30.1. apakšpunktā vārdus "iespējamo kiberincidentu" aizvietot ar "gandrīz notikušo kiberincidentu", lai neradītu jaunus terminus.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gandrīz noticis kiberincidents — notikums, kurš būtu varējis apdraudēt apstrādātus datus vai tīklu un informācijas sistēmu piedāvāto vai ar tīklu un informācijas sistēmu starpniecību pieejamo pakalpojumu pieejamību, autentiskumu, integritāti vai konfidencialitāti, bet kura pilnīga īstenošanās tika sekmīgi novērsta </w:t>
            </w:r>
            <w:r w:rsidR="00000000" w:rsidRPr="00000000" w:rsidDel="00000000">
              <w:rPr>
                <w:b w:val="1"/>
                <w:rtl w:val="0"/>
              </w:rPr>
              <w:t xml:space="preserve">vai kurš neīstenojās;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30.1. nodarbināto lomas un atbildību kiberincidenta pazīmju konstatēšanas gadījumā vai informācijas saņemšanas gadījumā par gandrīz notikušu kiberincidentu;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Sandra Zariņa (TNA)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32.2. kiberincidenta veida kodu vai kodus atbilstoši šo noteikumu </w:t>
            </w:r>
            <w:r w:rsidR="00000000" w:rsidRPr="00000000" w:rsidDel="00000000">
              <w:rPr>
                <w:rtl w:val="0"/>
              </w:rPr>
              <w:t xml:space="preserve">5. </w:t>
            </w:r>
            <w:r w:rsidR="00000000" w:rsidRPr="00000000" w:rsidDel="00000000">
              <w:rPr>
                <w:rtl w:val="0"/>
              </w:rPr>
              <w:t xml:space="preserve">pielikumā</w:t>
            </w:r>
            <w:r w:rsidR="00000000" w:rsidRPr="00000000" w:rsidDel="00000000">
              <w:rPr>
                <w:rtl w:val="0"/>
              </w:rPr>
              <w:t xml:space="preserve"> ietvertajai tipoloģijai;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5. pielikumā samazināt uzskaitītos kiberincidenta veidus. Daļa no tiem atbilst ievainojamībai, gandrīz notikušam kiberincidentam.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Sandra Zariņa (TNA)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35.4. standarta lietotāja kontu neizmanto tīklu, informācijas sistēmu vai tehnisko resursu administrēšanai. Ja tas nav tehniski iespējams (piemēram, ja informācijas sistēmas tehniskais risinājums ļauj droši veikt administrēšanu, piešķirot (eskalējot) standarta lietotāja kontam administratora tiesības), tad uzskatāms, ka standarta lietotāja konts ar administratora tiesībām ir administratora lietotāja konts;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terminu "standarta lietotāja konts" aizstāt ar terminu "lietotāja konts", jo noteikumu projektā nav skaidrojums terminam "standarta lietotājs".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39.1. iekšējais tīkls ir nodalīts no ārējā tīkla;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iekšējā un ārējā tīkla definīciju, norādot, kādi tīkli ir uzskatāmi par iekšējiem, un kādi - par ārējiem.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39.2. iekšējais tīkls ir sadalīts loģiskos segmentos atbilstoši subjekta darbības specifikai un elektroniski apstrādājamo informācijas resursu drošības klasēm;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tīkli būtu arī jānodala pēc to pielietojuma, piemēram videonovērošanas tīkls, tālruņi, signalizācija, TV varbūt vienā drošības klasē, bet samazinātu drošības risku uz citiem IKT resursiem, tie būtu jānodala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iekšējais tīkls ir sadalīts loģiskos segmentos atbilstoši subjekta darbības specifikai, pielietojuma un elektroniski apstrādājamo informācijas resursu drošības klasēm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Sandis Vulis (TNA)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39.5. piekļuve iekšējā tīklā esošajiem informācijas resursiem ārpus iekšējā tīkla ir iespējama tikai, izmantojot šifrētu virtuālā privātā tīkla (VPN) risinājumu ar stingru autentifikāciju;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ievērojot, ka noteikumu projektā nav noteikts, ko nozīmē "stingra" autentifikācija.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"39.5. piekļuve iekšējā tīklā esošajiem informācijas resursiem ārpus iekšējā tīkla ir iespējama tikai, izmantojot šifrētu virtuālā privātā tīkla (VPN) risinājumu ar daudzfaktoru autentifikāciju;"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39.6. ja attiecināms, viesu (apmeklētāju) piekļuve internetam tiek nodrošināta, izmantojot no iekšējā tīkla fiziski un loģiski atdalītu tīklu ar atsevišķu reālo IP adresi;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Vārdiem "ja attiecināms," nav nozīmes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39.6.viesu (apmeklētāju) piekļuve internetam tiek nodrošināta, izmantojot no iekšējā tīkla fiziski un loģiski atdalītu tīklu ar atsevišķu reālo IP adresi;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Sandis Vulis (TNA)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39.7. tīkla iekārtas un cita aparatūra, kas nav paredzēta tiešai lietotāju izmantošanai, ir loģiski atdalīta, izmantojot atsevišķus virtuālos tīklus, nodrošinot tai piekļuvi tikai pilnvarotam IKT personālam;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precizēt uz kādām tīkla iekārtām un cik lielā mērā ir attiecināma šī prasība. Vai šeit ir domāts savstarpēji atdalīta vai atdalīta no kaut kā?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Sandis Vulis (TNA)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39.8. iekšējos bezvadu tīklos tiek izmanoti bezvadu drošības protokoli un datu pārraides drošības protokoli.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precizēt iekšējā tīkla definīciju, norādot kritēriju iekšējiem bezvadu tīklam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Sandis Vulis (TNA)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40.1. A kategorijas informācijas sistēmām un to darbību nodrošinošiem tīkliem – vismaz 18 mēnešus pēc pēdējā ieraksta izdarīšanas;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papildināt ar servisiem kas nodrošina šos sitēmu darbību.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kategorijas informācijas sistēmām un to darbību nodrošinošām operētājsistēmām, pakalpēm (servisiem), tīklu un serveru iekārtām – vismaz 18 mēnešus pēc pēdējā ieraksta izdarīšanas;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Sandis Vulis (TNA)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40.2. B kategorijas informācijas sistēmām un to darbību nodrošinošiem tīkliem – vismaz 12 mēnešus pēc pēdējā ieraksta izdarīšanas;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izteikt šādā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kategorijas informācijas sistēmām un to darbību nodrošinošām operētājsistēmām, pakalpēm (servisiem), tīklu un serveru iekārtām – vismaz 12 mēnešus pēc pēdējā ieraksta izdarīšanas;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Sandis Vulis (TNA)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40.3. C kategorijas informācijas sistēmām un to darbību nodrošinošiem tīkliem – vismaz 6 mēnešus pēc pēdējā ieraksta izdarīšanas.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izteikt šādā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kategorijas informācijas sistēmām un to darbību nodrošinošām operētājsistēmām, pakalpēm (servisiem), tīklu un serveru iekārtām – vismaz 6 mēnešus pēc pēdējā ieraksta izdarīšanas;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Sandis Vulis (TNA)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41.6. informācijas sistēmas paziņojumiem, brīdinājumiem un citiem IKT notikumiem, kas varētu liecināt par iespējamo kiberincidentu vai citu apdraudējumu informācijas sistēmas vai informācijas resursa drošībai.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izvērtēt un ieviest jaunu terminu, ja 41.6.apakšpunktā  "iespējams kiberincidents" nenozīmē to pašu, ko "gandrīz noticis kiberincidents". Ja tas tomēr ir viens un tas pats, visur pieturēties pie viena termina.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Sandra Zariņa (TNA)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43.3. avota un galamērķa izmantotie tīkla porti, kas norāda, kādi pakalpojumi vai lietojumprogrammas bija iesaistītas datu pārsūtīšanā (piemēram, HTTP, HTTPS, FTP);</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proti ne vienmēr norāda kādi pakalpojumi vai lietojumprogrammas bija iesaistītas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43.3. avota un galamērķa izmantotie tīkla porti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Sandis Vulis (TNA)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51.4. par katru rezerves kopijas izveides gadījumu tiek veikts atbilstošs ieraksts auditācijas pierakstos;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izteikt attiecīgo normu šādā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"51.4. par katru rezerves kopijas izveides vai neizveides gadījumu tiek veikts atbilstošs ieraksts auditācijas pierakstos;"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51.6. A kategorijas informācijas sistēmai pēc rezerves kopijas izveides tiek izveidota rezerves kopijas satura kontrolsumma.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izteikt šādā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51.6. A kategorijas informācijas sistēmai pēc rezerves kopijas izveides tiek izveidota rezerves kopijas satura kontrolsumma un reģistrēta auditācijas pierakstos.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Sandis Vulis (TNA)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55. Subjekts organizē tā nodarbināto apmācību kiberdrošības jautājumos, izvēloties tādu apmācības veidu, kas atbilst nodarbināto profesionālajai sagatavotībai, ņemot vērā nodarbināto izglītību, iepriekšējo apmācību, darba pieredzi un spējas, kā arī subjekta darbības specifiku. Apmācību kopums ietver:</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izvērtēt un aizvietot 55.punktā "nodarbināto" ar "lietotāju", jo ne visiem nodarbinātajiem ir konti kibervidē (nav nepieciešami amatu pienākumu izpildei).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55. Subjekts organizē tā lietotāju apmācību kiberdrošības jautājumos, izvēloties tādu apmācības veidu, kas atbilst nodarbināto profesionālajai sagatavotībai, ņemot vērā nodarbināto izglītību, iepriekšējo apmācību, darba pieredzi un spējas, kā arī subjekta darbības specifiku. Apmācību kopums ietver:</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Sandra Zariņa (TNA)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55.1. visu subjekta nodarbināto klātienes vai attālinātās instruktāžas, tai skaitā: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izvērtēt un aizvietot 55.1. apakšpunktā "nodarbināto" ar "lietotāju", jo ne visiem nodarbinātajiem ir konti kibervidē (nav nepieciešami amatu pienākumu izpildei).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Sandra Zariņa (TNA)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57. Šo noteikumu </w:t>
            </w:r>
            <w:r w:rsidR="00000000" w:rsidRPr="00000000" w:rsidDel="00000000">
              <w:rPr>
                <w:rtl w:val="0"/>
              </w:rPr>
              <w:t xml:space="preserve">55.1.</w:t>
            </w:r>
            <w:r w:rsidR="00000000" w:rsidRPr="00000000" w:rsidDel="00000000">
              <w:rPr>
                <w:rtl w:val="0"/>
              </w:rPr>
              <w:t xml:space="preserve"> apakšpunktā minētās instruktāžas ir obligātas visiem subjekta nodarbinātajiem. Gadījumā, ja nodarbinātais nevar piedalīties instruktāžā, tas informē kiberdrošības pārvaldnieku un vienojas par instruktāžu citā piemērotā laikā un formātā. Kiberdrošības pārvaldnieks ir tiesīgs apturēt nodarbinātā piekļuvi tam piešķirtajam informācijas sistēmas lietotāja kontam, kamēr nav veikta nodarbinātā instruktāža.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izvērtēt un aizvietot 57. punktā "nodarbināto" ar "lietotāju", jo ne visiem nodarbinātajiem ir konti kibervidē (nav nepieciešami amatu pienākumu izpildei).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57. Šo noteikumu 55.1. apakšpunktā minētās instruktāžas ir obligātas visiem subjekta lietotājiem. Gadījumā, ja nodarbinātais nevar piedalīties instruktāžā, tas informē kiberdrošības pārvaldnieku un vienojas par instruktāžu citā piemērotā laikā un formātā. Kiberdrošības pārvaldnieks ir tiesīgs apturēt nodarbinātā piekļuvi tam piešķirtajam informācijas sistēmas lietotāja kontam, kamēr nav veikta nodarbinātā instruktāža.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Sandra Zariņa (TNA)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58. Sākotnējo instruktāžu veic ne vēlāk kā viena mēneša laikā no nodarbinātā darba (dienesta) pienākumu veikšanas uzsākšanas brīža.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izvērtēt un aizvietot 58. punktā "nodarbināto" ar "lietotāju", jo ne visiem nodarbinātajiem ir konti kibervidē (nav nepieciešami amatu pienākumu izpildei).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Sandra Zariņa (TNA)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59. Subjekts nodrošina, ka visiem tā nodarbinātajiem ir pieejams kārtējo instruktāžu kalendārais plāns, kā arī aktuālie instruktāžu materiāli (piemēram, prezentācijas datne, izdales materiāli).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izvērtēt un aizvietot 59. punktā "nodarbināto" ar "lietotāju", jo ne visiem nodarbinātajiem ir konti kibervidē (nav nepieciešami amatu pienākumu izpildei).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Sandra Zariņa (TNA)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 Subjekts uzskaita organizētās apmācības, kā arī ievieš procesus, lai novērtētu nodarbināto zināšanas kiberdrošības jautājumos un īstenoto apmācību efektivitāti.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izvērtēt un aizvietot 61. punktā "nodarbināto" ar "lietotāju", jo ne visiem nodarbinātajiem ir konti kibervidē (nav nepieciešami amatu pienākumu izpildei).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Sandra Zariņa (TNA)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 Ja vien tas ir tehniski iespējams, būtisko pakalpojumu sniedzējs pielieto šifrēšanas risinājumus vismaz:</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Piedāvāju šeit izmantot risku vērtēšanu nevis "tehniski iespējams" apsvērumus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 Ievērojot datu subjekta riska vērtējumu, būtisko pakalpojumu sniedzējs pielieto šifrēšanas risinājumus vismaz:</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Sandis Vulis (TNA)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 Prasības IKT infrastruktūrai, kura pilda datu centra funkcijas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papildināt ar prasību pret datu centra ēku, izvērtējot ārējos ietekmes riskus, piemēram no  eksplozijas, plūdiem, aviokatastrofas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Sandis Vulis (TNA)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 Prasības IKT infrastruktūrai, kura pilda datu centra funkcijas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papildināt ar prasību pēc nodalīta datu centra,  kur sistēma būtu atjaunojama ārkārtas gadījumā.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Sandis Vulis (TNA)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66.4. telpas ir nodrošinātas ar atbilstošiem klimata uzraudzības un kontroles mehānismiem;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izteikt šādā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66.4. telpas ir nodrošinātas ar atbilstošiem klimata uzraudzības un kontroles mehānismiem un procedūrām;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Sandis Vulis (TNA)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66.10. IKT infrastruktūra, kurā uztur A kategorijas informācijas sistēmu, ir aprīkota ar:</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augstas pieejamības sistēmām ir nepieciešāms rezerves datu pārraides tīkls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66.10.4 alternatīvu datu pārraides tīkla pieslēgumu.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Sandis Vulis (TNA)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67.1. identificē publiskā elektronisko sakaru tīkla kritiskās daļas saskaņā ar šo noteikumu​ </w:t>
            </w:r>
            <w:r w:rsidR="00000000" w:rsidRPr="00000000" w:rsidDel="00000000">
              <w:rPr>
                <w:rtl w:val="0"/>
              </w:rPr>
              <w:t xml:space="preserve">6. </w:t>
            </w:r>
            <w:r w:rsidR="00000000" w:rsidRPr="00000000" w:rsidDel="00000000">
              <w:rPr>
                <w:rtl w:val="0"/>
              </w:rPr>
              <w:t xml:space="preserve">pielikumu</w:t>
            </w:r>
            <w:r w:rsidR="00000000" w:rsidRPr="00000000" w:rsidDel="00000000">
              <w:rPr>
                <w:rtl w:val="0"/>
              </w:rPr>
              <w:t xml:space="preserve">. Publiskā elektronisko sakaru tīkla īpašnieks var identificēt kā kritiskas arī citas publiskā elektronisko sakaru tīkla daļas;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noteikumu projekta 67.1. apakšpunkta otro teikumu papildināt ar norādi uz publiskā elektroniskā sakaru tīkla tiesisko valdītāju vai skaidrot, kādēļ tas nav nepieciešams, noteikumu projekta anotācijā.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76.2. informācijas sistēmas programmatūras koda un tā izmantošanas tiesību nodošanu būtisko pakalpojumu sniedzējam ne vēlāk kā pēc šo noteikumu </w:t>
            </w:r>
            <w:r w:rsidR="00000000" w:rsidRPr="00000000" w:rsidDel="00000000">
              <w:rPr>
                <w:rtl w:val="0"/>
              </w:rPr>
              <w:t xml:space="preserve">76.1.</w:t>
            </w:r>
            <w:r w:rsidR="00000000" w:rsidRPr="00000000" w:rsidDel="00000000">
              <w:rPr>
                <w:rtl w:val="0"/>
              </w:rPr>
              <w:t xml:space="preserve"> apakšpunktā noteiktā laikposma beigām, kā arī pēc katru izmaiņu vai uzlabojumu veikšanas tajā;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salāgot noteikumu projektā ietverto regulējumu ar tā anotācijā norādīto informāciju. Norādām, ka, piemēram, noteikumu projekta anotācijā norādīts uz programmatūras pirmkoda, nevis koda nodošanu.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91. Kiberincidentu novēršanas institūcijas vadītājs izvērtē tās atbilstību šo noteikumu </w:t>
            </w:r>
            <w:r w:rsidR="00000000" w:rsidRPr="00000000" w:rsidDel="00000000">
              <w:rPr>
                <w:rtl w:val="0"/>
              </w:rPr>
              <w:t xml:space="preserve">90.</w:t>
            </w:r>
            <w:r w:rsidR="00000000" w:rsidRPr="00000000" w:rsidDel="00000000">
              <w:rPr>
                <w:rtl w:val="0"/>
              </w:rPr>
              <w:t xml:space="preserve"> punktā minētajām prasībām vismaz reizi piecos gados un par to informē Nacionālo kiberdrošības centru.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91. punktā norādīt, kādā termiņā informējams Nacionālais kiberdrošības centrs, tādējādi nodrošinot attiecīgās normas nepārprotamu izteiksmi.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92.2. kiberincidents rada mantiskus zaudējumus subjektam, citiem subjektiem, Latvijas Republikai, pakalpojumu saņēmējiem vai citām personām vismaz 500 000 </w:t>
            </w:r>
            <w:r w:rsidR="00000000" w:rsidRPr="00000000" w:rsidDel="00000000">
              <w:rPr>
                <w:i w:val="1"/>
                <w:rtl w:val="0"/>
              </w:rPr>
              <w:t xml:space="preserve">euro</w:t>
            </w:r>
            <w:r w:rsidR="00000000" w:rsidRPr="00000000" w:rsidDel="00000000">
              <w:rPr>
                <w:rtl w:val="0"/>
              </w:rPr>
              <w:t xml:space="preserve"> vai 5% apmērā no subjekta pēdējā finanšu gada apgrozījuma (atkarībā no tā, kura summa ir mazāka);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92.2. apakšpunktā svītrot vārdu "mantiskus", jo zaudējumi var būt vienīgi mantiski.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92.5. kiberincidents ir izraisījis vai var izraisīt būtiskā vai svarīgā pakalpojuma saņemšanas vai IKT kritiskās infrastruktūras funkcionēšanas traucējumus;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papildināt 92.5 apakšpunktu ar traucējumu apmēru/ietekmi.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Sandra Zariņa (TNA)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95. Par kiberincidentu, kurš nav uzskatāms par nozīmīgu kiberincidentu, subjekts ziņo kompetentajai kiberincidentu novēršanas institūcijai, nosūtot uz tās tīmekļa vietnē internetā norādīto elektroniskā pasta adresi kiberincidenta aprakstu brīvā formā. Ja subjekts ir Aizsardzības ministrija, tās padotības iestāde vai Nacionālie bruņotie spēki, kiberincidenta aprakstu nosūta uz subjekta iekšējos normatīvajos aktos noteikto kompetentās kiberinicidentu novēršanas institūcijas elektroniskā pasta adresi.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95. punktā svītrot atsauci uz iekšējiem normatīvajiem aktiem, ievērojot 131.2. apakšpunktā noteikto.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 Atbilstības audits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izvērtēt un precizēt nosaukumu 8.1 apakšnodaļai, apakšnodaļa ir par auditoru reģistrēšanas procesu, nevis atbilstības auditu.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Sandra Zariņa (TNA)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103.1. subjekta nodarbinātais personāls, kurš pēdējo trīs gadu laikā nav bijis iesaistīts informācijas sistēmas izstrādē vai uzturēšanā, vai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103.2.1. un 103.2.2 prasības attiecināt arī uz subjekta nodarbināto personālu.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"103.2.1.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 šo noteikumu 80. punkta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"103.2.2.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saņēmusi starptautiski atzītu sertifikātu, kas apliecina personas kvalifikāciju ielaušanās testu jomā (piemēram, CEH, OSCP), vai kurai ir vismaz divu gadu darba pieredze ielaušanās testu veikšanā;"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106.4. pēdējo trīs gadu laikā subjekta IKT infrastruktūrā konstatēto kiberincidentu nozīmīgumu un apjomu;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Tiesiskās noteiktības nolūkā lūdzam noteikumu projekta 106.4. apakšpunktā norādīt vai anotācijā skaidrot atskaites punktu trīs gadu termiņa aprēķināšanai.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119. Ja subjekts, kurš ir pašvaldība vai pašvaldības dibināta pastarpinātās pārvaldes iestāde, neveic visus nepieciešamos, piemērotos un samērīgos pasākumus konstatētās neatbilstības novēršanai, Nacionālais kiberdrošības centrs par šo neatbilstību ziņo attiecīgās pašvaldības domes priekšsēdētājam, kuri lemj par pašvaldību institūciju un amatpersonu (darbinieku) atbildību Pašvaldību likumā noteiktajā kārtībā, kā arī informē vides aizsardzības un reģionālās attīstības ministru.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norādi uz Viedās aizsardzības un reģionālās attīstības ministriju, ņemot vērā to, ka ministrijai ir mainīts nosaukums (skat. Ministru kabineta 2024. gada 3. septembra noteikumus Nr. 586 "Viedās administrācijas un reģionālās attīstības ministrijas nolikums").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Bezdelīga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126. Noteikumi stājas spēkā 2024. gada 17. oktobrī.</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attiecīgās direktīvas prasības ir jāpārņem līdz 2024. gada 18., nevis 18. oktobrim, lūdzam atbilstoši precizēt noteikumu projekta 126.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"126. Noteikumi stājas spēkā 2024. gada 18. oktobrī."</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pārvērtēt "(a) informācijas resursa pieejamības pārtraukums informācijas sistēmas paredzētajā darbības laikā summāri nedrīkst pārsniegt 0,1% kalendārā gada ietvaros; "norādīto 0,1%, kas faktiski nozīmē, ja sistēmai paredzētais darbības laiks 24/7 vai izrietošais nepieejamības laiks 8.76h (kas faktiski būtiski apgrūtinās valsts vai pašvaldības pamatfunkciju īstenošanu) darba dienā būs pieņemams?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Sandis Vulis (TNA)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Piedāvāju dzēst šo prasību "(c) no informācijas resursa pieejamības ir atkarīga citas informācijas sistēmas darbība, kurai noteikta A pieejamības klase;", A klases sistēmas arhitektūra ir jāveido tā, lai tā nebūtu atkarīga no citu sistēmu darbības vai pieejamības.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Sandis Vulis (TNA)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Kiberinicidentu tipoloģija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iekļaut 5.pielikuma nosaukumā gandrīz notikušu kiberincidentu un ievainojamību.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Kiberinicidentu, gandrīz notikušu kiberincidentu un ievainojamību tipoloģija.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Sandra Zariņa (TNA)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paplašināt tabulas nosaukumu vai sašaurināt saturu atbilstoši kiberincidenta definīcijai. Ne visi aprakstītie veidi atbilst kiberincidenta definīcijai, piemēram, ievainojamība "Nacionālajā kiberdrošības likumā" ir atsevišķs termins ar savu skaidrojumu, ielaušanās mēģinājums drīzāk atbilst gandrīz notikuša kiberincidenta definīcijai.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Sandra Zariņa (TNA)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pārvērtēt uzskaitīto incidentu veidu atbilstību kiberincidenta definīcijai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11) kiberdrošības incidents (turpmāk — kiberincidents) — notikums, kas apdraud apstrādātus datus vai tādu pakalpojumu pieejamību, autentiskumu, integritāti vai konfidencialitāti, kurus piedāvā tīklu un informācijas sistēmas vai kuri pieejami ar tīklu un informācijas sistēmu starpniecību;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Sandis Vulis (TNA)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tehniski precizēt 5. sadaļā ietverto atsauci uz direktīvu  "NIS2 direktīvas h) apakšpunkts", norādot minētās direktīvas pantu un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22-TA-3183</w:t>
    </w:r>
    <w:r>
      <w:br/>
    </w:r>
    <w:r w:rsidR="00000000" w:rsidRPr="00000000" w:rsidDel="00000000">
      <w:rPr>
        <w:rtl w:val="0"/>
      </w:rPr>
      <w:t xml:space="preserve">Izdrukāts 27.09.2024. 20.52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22-TA-3183</w:t>
    </w:r>
    <w:r>
      <w:br/>
    </w:r>
    <w:r w:rsidR="00000000" w:rsidRPr="00000000" w:rsidDel="00000000">
      <w:rPr>
        <w:rtl w:val="0"/>
      </w:rPr>
      <w:t xml:space="preserve">Izdrukāts 27.09.2024. 20.52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Atzinumi_22-TA-3183.docx</dc:title>
</cp:coreProperties>
</file>

<file path=docProps/custom.xml><?xml version="1.0" encoding="utf-8"?>
<Properties xmlns="http://schemas.openxmlformats.org/officeDocument/2006/custom-properties" xmlns:vt="http://schemas.openxmlformats.org/officeDocument/2006/docPropsVTypes"/>
</file>