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prioritāriem rīcības virzieniem nacionālās industriālās politikas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17.01.2024.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17.01.2024.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