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darbības kārtības noteikumi un daudzgadu darbības programma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daudzgadu darbības programmas līdz 2030. gadam (turpmāk – programma) izstrādes un darbības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likuma "Par piesārņojumu" 32.</w:t>
            </w:r>
            <w:r w:rsidR="00000000" w:rsidRPr="00000000" w:rsidDel="00000000">
              <w:rPr>
                <w:vertAlign w:val="superscript"/>
                <w:rtl w:val="0"/>
              </w:rPr>
              <w:t xml:space="preserve">12</w:t>
            </w:r>
            <w:r w:rsidR="00000000" w:rsidRPr="00000000" w:rsidDel="00000000">
              <w:rPr>
                <w:rtl w:val="0"/>
              </w:rPr>
              <w:t xml:space="preserve"> panta piektajai daļai precizēt, ka runa ir par </w:t>
            </w:r>
            <w:r w:rsidR="00000000" w:rsidRPr="00000000" w:rsidDel="00000000">
              <w:rPr>
                <w:u w:val="single"/>
                <w:rtl w:val="0"/>
              </w:rPr>
              <w:t xml:space="preserve">Modernizācijas fonda</w:t>
            </w:r>
            <w:r w:rsidR="00000000" w:rsidRPr="00000000" w:rsidDel="00000000">
              <w:rPr>
                <w:rtl w:val="0"/>
              </w:rPr>
              <w:t xml:space="preserve"> (fonda) daudzgadu darbības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saskaņā ar likuma "Par piesārņojumu" 32.</w:t>
            </w:r>
            <w:r w:rsidR="00000000" w:rsidRPr="00000000" w:rsidDel="00000000">
              <w:rPr>
                <w:vertAlign w:val="superscript"/>
                <w:rtl w:val="0"/>
              </w:rPr>
              <w:t xml:space="preserve">12</w:t>
            </w:r>
            <w:r w:rsidR="00000000" w:rsidRPr="00000000" w:rsidDel="00000000">
              <w:rPr>
                <w:rtl w:val="0"/>
              </w:rPr>
              <w:t xml:space="preserve"> panta piekto daļu Ministru kabinets izdod Modernizācijas fonda darbības kārtības noteikumus un </w:t>
            </w:r>
            <w:r w:rsidR="00000000" w:rsidRPr="00000000" w:rsidDel="00000000">
              <w:rPr>
                <w:u w:val="single"/>
                <w:rtl w:val="0"/>
              </w:rPr>
              <w:t xml:space="preserve">apstiprina Modernizācijas fonda daudzgadu darbības programmu</w:t>
            </w:r>
            <w:r w:rsidR="00000000" w:rsidRPr="00000000" w:rsidDel="00000000">
              <w:rPr>
                <w:rtl w:val="0"/>
              </w:rPr>
              <w:t xml:space="preserve">, nevis noteic šīs programmas izstrādes un darbības nosacījumus, kā šobrīd noteikts noteikumu projekta 1.2.apakšpunktā. Ievērojot minēto, lūdzam noteikumu projekta anotācijā pamatot šāda regulējuma atbilstību likumā noteiktajam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fonda līdzekļiem atbalstīto pasākumu ietvaros īstenotos projektus finansē no projekta iesniedzēja, ar kuru ieviešanas iestāde ir noslēgusi projekta līgumu (turpmāk – finansējuma saņēmējs), līdzekļiem un līdzfinansē no fonda līdzekļiem. Fonda līdzfinansējuma likme tiek noteikta attiecīgā projektu iesniegumu konkursa nolikumā.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4.punkta otro teikumu, jo Ministru kabineta noteikumos nav jāapraksta citu Ministru kabineta noteikumu saturs. Šādu informāciju nepieciešamības gadījumā var norādīt noteikumu projekta anotācijā, piemēram, skaidrojot šī noteikumu projekta sinerģiju ar noteikumiem, kas tiks izdoti, pamatojoties uz likuma "Par piesārņojumu" 32.¹³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izvērtēt arī citu noteikumu projekta normu, kurās aprakstīti projektu iesniegumu konkursa nolikumā ietveramie saturiskie jautājumi, nepieciešamību (piemēram, noteikumu projekta 19. - 21.punkts).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fonda līdzekļiem atbalstīto pasākumu ietvaros īstenotos projektus finansē no projekta iesniedzēja, ar kuru ieviešanas iestāde ir noslēgusi projekta līgumu (turpmāk – finansējuma saņēmējs), līdzekļiem un līdzfinansē no fonda līdzekļiem. Fonda līdzfinansējuma likme tiek noteikta attiecīgā projektu iesniegumu konkursa nolikumā.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projekta tekstā precizēt terminoloģiju attiecībā uz līgumu, kas tiek noslēgts ar finansējuma saņēmēju. Vēršam uzmanību, ka šobrīd noteikumu projektā lietots gan termins "projekta līgums", gan "līgums par projekta īstenošanu", gan vienkārši "līgums" (noteikumu projekta VI nodaļā), un nav viennozīmīgi skaidrs, vai runa ir par vienu un to pašu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noteikumu projekta VI nodaļā dažuviet izmantota frāze "līgums vai vienošanās", ko arī nepieciešams precizēt, it īpaši ņemot vērā, ka noteikumu projektā tiek regulēti visā Modernizācijas fonas ieviešanā būtiski horizontālie jautājumi.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Atbildīgā iestāde projektu iesniegumu konkursa nolikumā iekļauj likuma "</w:t>
            </w:r>
            <w:r w:rsidR="00000000" w:rsidRPr="00000000" w:rsidDel="00000000">
              <w:rPr>
                <w:rtl w:val="0"/>
              </w:rPr>
              <w:t xml:space="preserve">Par piesārņojumu</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13</w:t>
            </w:r>
            <w:r w:rsidR="00000000" w:rsidRPr="00000000" w:rsidDel="00000000">
              <w:rPr>
                <w:rtl w:val="0"/>
              </w:rPr>
              <w:t xml:space="preserve"> panta</w:t>
            </w:r>
            <w:r w:rsidR="00000000" w:rsidRPr="00000000" w:rsidDel="00000000">
              <w:rPr>
                <w:rtl w:val="0"/>
              </w:rPr>
              <w:t xml:space="preserve"> ceturtajā daļā minēto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19.punktu, ņemot vērā, ka likuma "Par piesārņojumu" 32.</w:t>
            </w:r>
            <w:r w:rsidR="00000000" w:rsidRPr="00000000" w:rsidDel="00000000">
              <w:rPr>
                <w:vertAlign w:val="superscript"/>
                <w:rtl w:val="0"/>
              </w:rPr>
              <w:t xml:space="preserve">13</w:t>
            </w:r>
            <w:r w:rsidR="00000000" w:rsidRPr="00000000" w:rsidDel="00000000">
              <w:rPr>
                <w:rtl w:val="0"/>
              </w:rPr>
              <w:t xml:space="preserve"> panta ceturtajā daļā minētie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(projektu iesniegumu konkursu nolikumi) jāizstrādā atbilstoši likumā noteiktajam pilnvarojumam, un šā pilnvarojuma apjoms nav atkārtoti jāregulē šajā noteikumu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Komisijas lēmumu var apstrīdēt ieviešanas iestādes, kura noteikta projektu iesniegumu konkursa nolikumā, valdes priekšsēdētājam. Ieviešanas iestādes valdes priekšsēdētāja lēmumu var pārsūdzēt tiesā </w:t>
            </w:r>
            <w:r w:rsidR="00000000" w:rsidRPr="00000000" w:rsidDel="00000000">
              <w:rPr>
                <w:rtl w:val="0"/>
              </w:rPr>
              <w:t xml:space="preserve">Administratīvā procesa likumā</w:t>
            </w:r>
            <w:r w:rsidR="00000000" w:rsidRPr="00000000" w:rsidDel="00000000">
              <w:rPr>
                <w:rtl w:val="0"/>
              </w:rPr>
              <w:t xml:space="preserve">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pamatot izvēlēto projektu vērtēšanas komisijas lēmumu apstrīdēšanas kārtību. Šobrīd noteikumu projekta 25.pants paredz, ka minētos lēmumus var apstrīdēt ieviešanas iestādes - t.i., privātpersonas (akciju sabiedrība "Attīstības finanšu institūcija ALTUM" un sabiedrībai ar ierobežotu atbildību "Vides investīciju fonds"), kam deleģēta atsevišķu pārvaldes uzdevumu pildīšana -  valdes priekšedētājam. Lūdzam vērtēt, vai šāda apstrīdēšanas kārtība ir efektīva un atbilst likuma "Par piesārņojumu" 32.¹² panta piektajā daļā noteiktajam, ka izpildot deleģētos uzdevumus, privātpersona vai publiska persona (..) atrodas Vides aizsardzības un reģionālās attīstības ministrijas padotībā.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Ieviešanas iestāde ir tiesīga pieņemt lēmumu, ar kuru nosaka aizliegumu fiziskajai vai juridiskajai personai piedalīties projektu iesniegumu atlasē uz laiku, kas nepārsniedz trīs gadus no lēmuma spēkā stāšanās dienas, ja šī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pamatot izvēlētā aizlieguma piedalīties projektu iesniegumu atlasē termiņu - trīs gadus, kā arī papildināt noteikumu projekta anotāciju ar sīkāku informāciju, pēc kādiem kritērijiem tiks noteikts aizlieguma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minētā lēmuma apstrīdēšanas un pārsūdzības kārtību, ja nepieciešmas, papildinot noteikumu projekta 30.punktu ar attiecīgu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11.11.2022. 20.08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11.11.2022. 20.08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Atzinumi_22-TA-1466.docx</dc:title>
</cp:coreProperties>
</file>

<file path=docProps/custom.xml><?xml version="1.0" encoding="utf-8"?>
<Properties xmlns="http://schemas.openxmlformats.org/officeDocument/2006/custom-properties" xmlns:vt="http://schemas.openxmlformats.org/officeDocument/2006/docPropsVTypes"/>
</file>