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Valsts prezidenta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publiskas personas iestāde, tai skaitā atvasināta publiskas personas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 panta 3. punkta izpratnē termins "iestāde" ietver gan valsts, gan atvasinātu publisku personu iestādes, tādēļ likumprojektā lietotajā terminā "publiskas personas iestāde, tai skaitā atvasināta publiskas personas iestāde" veidojas liekvārdība. Aicinām anotācijā skaidrot likumprojektā lietoto terminu salāgošanu ar Valsts pārvaldes iekārtas likumā lietotajiem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Usāne (LVPK)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šķietams interešu konflikts</w:t>
            </w:r>
            <w:r w:rsidR="00000000" w:rsidRPr="00000000" w:rsidDel="00000000">
              <w:rPr>
                <w:rtl w:val="0"/>
              </w:rPr>
              <w:t xml:space="preserve"> – situācija, kurā rodas šaubas par valsts pārvaldē nodarbinātā objektivitāti un neitralitāti, pildot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ir vispārīga, kas var apgrūtināt tiesību normas vienveidīgu piemērošanu praksē, īpaši ņemot vērā katras iestādes vadītāja pienākumu novērst šķietamus interešu konfliktus. Aicinām norādīt skaidrākus normas piemērošanas kritērijus, kā arī apsvērt iespēju anotācijā ar piemēriem skaidrot terminu "šķietams interešu konflikts".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Usāne (LVPK)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pārvaldē nodarbinātais ievēro attiecīgajā profesijā, jomā, nozarē vai institūcijā apstiprinātās uzvedības (ētikas)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tekstā lietoti atšķirīgi jēdzieni  - ētikas normas, ētikas principi un ētikas standarti. Ja šiem jēdzieniem likumprojekta izpratnē ir atšķirīga nozīme, aicinām papildināt likumprojekta tekstu ar atbilstošu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Usāne (LVPK)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Aizliegts pieņemt lēmumus vai piedalīties lēmuma pieņemšanā, kas ietekmē vai var ietekmēt valsts pārvaldē nodarbinātā, tā radinieku vai darījumu partneru personiskās vai mantiskās intereses. Aizliegums neattiecas uz darījuma partneriem, kas ir kredītiestādes vai citas regulētas finanšu iestādes, kuras sniedz savus pakalpojumus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normā nav ietverts tās adresāts, līdz ar to tā ir neskaidra un vispārīga. Aicinām to atbilstoši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Usāne (LVPK)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nodarbinātajam blakus darbs pie cita darba devēja vai saimnieciskās darbības veikšana darba laikā ir aizliegta, izņemot, ja to nosaka likums vai Ministru kabineta noteikumi vai rīkojumi.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 paredz ierobežojumus, kas būtiski pārsniedz pašreiz spēkā esošajā tiesiskajā regulējumā paredzēto tvērumu, attiecinot to arī uz pedagoga, zinātnieka, ārsta, veterinārārsta, profesionāla sportista vai radošo darbu, izņēmumus paredzot tikai speciālajiem subjektiem. Aicinām anotācijā sniegt skaidrojumu par nepieciešamību atteikties no spēkā esošā regulējuma.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Usāne (LVPK)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 retāk kā reizi trijos gados iekšējās kontroles sistēmas auditu, tai skaitā institūcijas līmeņa korupcijas un interešu risku novērtējuma atbilstību un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tiesību normu, nosakot audita veidu un skaidrus un nepārprotamus kritērijus tā veikšanai. Pašreizējā redakcijā tiesību norma rada tiesisko nenoteiktību un pieļauj subjektīvu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Usāne (LVPK)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līdz 2028. gada 1.janvārim izdod šā likuma 7. panta piektajā un devītajā daļā, 16. panta otrajā un trešajā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normā ietvertais deleģējums - uzdot Ministru kabinetam līdz 2028. gada 1. janvārim izdot likumprojekta  7. panta devītajā daļā minētos noteikumus, satur atsauci uz likumprojekta tekstā neeksistējošu normu (7. pantam ir tikai astoņas daļas).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Usāne (LVPK)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 (ex-ante) nesatur izvērstu skaidrojumu, kā likumprojektā ietvertais tiesiskais regulējums novērsīs identificētās problēmas un veicinās likumprojektā norādītā mērķa sasniegšanu. Identificētajām problēmām nav sniegts skaidrs risinājums.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Usāne (LVPK)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panta otrās daļas 10. apakšpunkts noteic, ka institūcijas vadītājs ne retāk kā reizi trijos gados nodrošina iekšējās kontroles sistēmas auditu, tai skaitā institūcijas līmeņa korupcijas un interešu konflikta risku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izvērstu skaidrojumu par iecerētā tiesiskā regulējuma praktisko piemērošanu institūcijās, tostarp mazās un viedējās neatkarīgajās iestādēs, kurās nav izveidota patstāvīga iekšējā audita struktūrvienība.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Usāne (LVPK)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17.06.2026.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17.06.2026.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