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Alus Darītāju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15.panta pirmās daļas 1. punktā skaitli "7,4" ar skaitli "11".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viena no nedaudzām ES valstīm, kur akcīzes nodoklis tiek piemērots, kas padara Latvijas dzērienu ražotājus mazāk konkurētspējīgus attiecībā pret citu dalībvalstu ražotājiem. Akcīzes nodokļa piemērošana bezalkoholiskajiem dzērieniem atstāj ļoti negatīvu iespaidu uz Latvijas bezalkoholisko dzērienu nozares konkurētspēju, vienlaikus nesasniedzot minētā nodokļa piemērošanai izvirzītos mērķus. Nodokļu celšana, lai gan īstermiņā var palielināt budžeta ieņēmumus, ilgtermiņā rada negatīvu iespaidu ne vien uz ražošanas nozari, bet arī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nodoklis bezalkoholiskajiem dzērieniem netiek piemērots ne Lietuvā, ne Igaunijā. Akcīzes nodokļa piemērošanas prakse ir nepārprotami pierādījusi, ka akcīzes nodokļa politikas veidošanas procesā ir jāņem vērā kaimiņvalstīs esošās nodokļa likmes. Gadījumā, ja kāda valsts būtiski palielina nodokļa likmes konkrētai produktu kategorijai, krītas tās pārdošanas apjomi, bet nesamazinās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pēc garām diskusijām ar dzērienu ražotājiem, tika panākts kompromiss, straujāk celt akcīzes nodokli dzērieniem ar cukura saturu virs 8 gramiem uz 100ml, bet necelt nodokli dzērieniem ar cukura saturu līdz 8 g cukura uz 100 ml. Šāda pieejas mērķis bija veicināt ražošanas pāreju uz dzērieniem ar zemāku cukura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Latvijas dzērienu ražotāji ir pārgājuši uz dzērienu ražošanu ar samazinātu cukura daudzumu, paļaujoties, ka valsts būs konsekventa savos lēmumos. Šobrīd, ceļot akcīzes nodokli minētajai dzērienu kategorijai tiktu pārkāpts tiesiskās paļāvības princips, kā arī grauta ražotāju uzticība valsts ilgtermiņa politikai attiecībā uz ražošanu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ieskatā, nav pieļaujama akcīzes nodokļa celšana dzērieniem ar cukura saturu līdz 8 gramiem uz 100ml.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Atzinumi_24-TA-2236.docx</dc:title>
</cp:coreProperties>
</file>

<file path=docProps/custom.xml><?xml version="1.0" encoding="utf-8"?>
<Properties xmlns="http://schemas.openxmlformats.org/officeDocument/2006/custom-properties" xmlns:vt="http://schemas.openxmlformats.org/officeDocument/2006/docPropsVTypes"/>
</file>