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Nacionālās industriālās politikas pamatnostādņu 2021. – 2027. gadam īstenošanas starpposma novērtējumu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Informatīvā ziņojuma sadaļu 1.2.  Rīcības virziens: Uzņēmējdarbības vide eksportspējai, kur pie punkta Rezultatīvo rādītāju sasniegšana attiecībā uz  Dižpasākumu programmu līdzās sporta pasākumiem, aicinām minēt piemērus arī kultūrā, piemēram, Pasaules koru olimpiāde.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ministrijai tika nodrošinātas vairākas tikšanās ar kultūras norišu nozares pārstāvjiem, kā arī nozares profesionāļi iesūtīja savus priekšlikumus Dižpasākumu programmai, lai tai kvalificētos arī eksportspējīgi kultūras pasākumi.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Ina Ločmele (KM)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20.11.2024.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20.11.2024.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