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Trauksmes celšanas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saziņa notiek pa tālruni vai izmantojot citu ziņapmaiņas veidu, kam ir ieraksta funkcija, tad ar trauksmes cēlēja piekrišanu veic ierakstu pastāvīgā un izgūstamā formā vai atbildīgā persona veic pilnīgu un precīzu sarunas pierakstu. Trauksmes cēlējam piedāvā iespēju pārbaudīt sarunas pierakstu un, ja nepieciešams, precizēt to, kā arī parakstīt;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trauksmes cēlējam būtu jānosaka, kā obligāts pienākums parakstīt vai kādā citādā veidā apliecināt savu ziņojumu, jo faktiski tā var būt persona, kas nosaucas citā vārdā. Vienlaikus likumprojektā būtu jānosaka rīcība, saņemot mutvārdos izteiktu trauksmes cēlēja ziņojumu vai izmantojot citus ziņapmaiņas veidus, kādā veidā iegūt informāciju par personas identitāti un to pārbaudīt.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Smoča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saziņa notiek pa tālruni vai izmantojot citu ziņapmaiņas veidu, kam nav ieraksta funkcijas, tad atbildīgā persona sniegto informāciju noformē rakstveidā, izmantojot trauksmes cēlēja ziņojuma veidlapu, un paraksta to. Trauksmes cēlējam piedāvā iespēju pārbaudīt sarunas pierakstu un, ja nepieciešams, precizēt to, kā arī parakstīt;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Trauksmes cēlējam ziņojuma parakstīšana būtu nosakāma kā obligāta.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Smoča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trauksmes cēlēja ziņojumu iesniedz klātienē, tad ar trauksmes cēlēja piekrišanu nodrošina pilnīgu un precīzu klātienes tikšanās fiksēšanu. Tikšanos fiksē, ierakstot sarunu pastāvīgā un izgūstamā formā vai atbildīgajai personai noformējot sniegto informāciju rakstveidā, izmantojot trauksmes cēlēja ziņojuma veidlapu. Trauksmes cēlējam piedāvā iespēju pārbaudīt aizpildīto trauksmes cēlēja ziņojuma veidlapu un, ja nepieciešams, precizēt to, kā arī parakstīt."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Trauksmes cēlējam ziņojuma parakstīšana būtu nosakāma kā obligāta.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Smoča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11.07.2025.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11.07.2025.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Atzinumi_25-TA-925.docx</dc:title>
</cp:coreProperties>
</file>

<file path=docProps/custom.xml><?xml version="1.0" encoding="utf-8"?>
<Properties xmlns="http://schemas.openxmlformats.org/officeDocument/2006/custom-properties" xmlns:vt="http://schemas.openxmlformats.org/officeDocument/2006/docPropsVTypes"/>
</file>