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25-TA-1902: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Dzīvnieku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18.</w:t>
            </w:r>
            <w:r w:rsidR="00000000" w:rsidRPr="00000000" w:rsidDel="00000000">
              <w:rPr>
                <w:b w:val="1"/>
                <w:vertAlign w:val="superscript"/>
                <w:rtl w:val="0"/>
              </w:rPr>
              <w:t xml:space="preserve">6</w:t>
            </w:r>
            <w:r w:rsidR="00000000" w:rsidRPr="00000000" w:rsidDel="00000000">
              <w:rPr>
                <w:b w:val="1"/>
                <w:rtl w:val="0"/>
              </w:rPr>
              <w:t xml:space="preserve"> pants.</w:t>
            </w:r>
            <w:r w:rsidR="00000000" w:rsidRPr="00000000" w:rsidDel="00000000">
              <w:rPr>
                <w:rtl w:val="0"/>
              </w:rPr>
              <w:t xml:space="preserve"> (1) Par suni, kurš uzbrucis citam dzīvniekam vai cilvēkam (turpmāk - uzbrukušais suns) un kura īpašnieks vai turētājs ir sodīts saskaņā ar šā likuma 58. pantu vai Krimināllikuma 230.</w:t>
            </w:r>
            <w:r w:rsidR="00000000" w:rsidRPr="00000000" w:rsidDel="00000000">
              <w:rPr>
                <w:vertAlign w:val="superscript"/>
                <w:rtl w:val="0"/>
              </w:rPr>
              <w:t xml:space="preserve">1</w:t>
            </w:r>
            <w:r w:rsidR="00000000" w:rsidRPr="00000000" w:rsidDel="00000000">
              <w:rPr>
                <w:rtl w:val="0"/>
              </w:rPr>
              <w:t xml:space="preserve"> pantu, mājas (istabas) dzīvnieku reģistra datubāzē izdara attiecīgu atzīmi, kuru nenoņem uzbrukušā suņa dzīves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Suni, kas cilvēkam nodarījis smagus miesas bojājums vai izraisījis tā nāvi, un kura īpašnieks vai turētājs ir sodīts saskaņā ar Krimināllikuma 230.</w:t>
            </w:r>
            <w:r w:rsidR="00000000" w:rsidRPr="00000000" w:rsidDel="00000000">
              <w:rPr>
                <w:vertAlign w:val="superscript"/>
                <w:rtl w:val="0"/>
              </w:rPr>
              <w:t xml:space="preserve">1</w:t>
            </w:r>
            <w:r w:rsidR="00000000" w:rsidRPr="00000000" w:rsidDel="00000000">
              <w:rPr>
                <w:rtl w:val="0"/>
              </w:rPr>
              <w:t xml:space="preserve"> panta otro daļu, eitanazē.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dzīvnieku turēšanas noteikumu pārkāpšanu administratīvi vai krimināli sodītā suņa īpašnieka vai turētāja pienākumus un prasības rīcībai ar uzbrukušo suni;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apmācībām, apmācības programmas saturam, apjomam un pārbaudījuma norises kārtībai uzbrukušajam sunim kopā ar tā īpašnieku vai turētāju, vai turētāju, kura atbildībā ir nodots uzbrukušais suns;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prasības apmācībām, apmācības programmas saturam, apjomam un pārbaudījuma norises kārtībai uzbrukušā suņa īpašniekam vai turētājam, vai turētājam, kura atbildībā ir nodots uzbrukušais suns, par dzīvnieku labturības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prasības attiecībā uz izglītību personām, kas ir tiesīgas apmācīt uzbrukušo suni, tā īpašnieku vai turētāju, vai turētāju, kura atbildībā ir nodots uzbrukušais suns;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prasības attiecībā uz izglītību personām, kas ir tiesīgas apmācīt uzbrukušā suņa īpašnieku vai turētāju, vai turētāju, kura atbildībā ir nodots uzbrukušais suns, par dzīvnieku labturības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kritērijus dzīvniekam nodarītā kaitējuma apmēra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prasības un kārtību atzīmes par uzbrukušo suni izdarīšanai mājas (istabas) dzīvnieku reģistra datubāzē."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"Grozījumi Dzīvnieku aizsardzības likumā" (turpmāk – likumprojekts) sākotnējās ietekmes (ex-ante) novērtējuma ziņojumu (anotāciju) (turpmāk – anotācija) ar pamatojumu likumprojekta 4.pantā ietvertajā 18.</w:t>
            </w:r>
            <w:r w:rsidR="00000000" w:rsidRPr="00000000" w:rsidDel="00000000">
              <w:rPr>
                <w:vertAlign w:val="superscript"/>
                <w:rtl w:val="0"/>
              </w:rPr>
              <w:t xml:space="preserve">6</w:t>
            </w:r>
            <w:r w:rsidR="00000000" w:rsidRPr="00000000" w:rsidDel="00000000">
              <w:rPr>
                <w:rtl w:val="0"/>
              </w:rPr>
              <w:t xml:space="preserve"> panta otrajā daļā noteikto tiesisko seku (suņa eitanizācijas) iestāšanās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Dzīvnieku aizsardzības likuma preambulā ietverto nevienam nav atļauts bez pamatota iemesla nogalināt dzīvnieku, nodarīt tam sāpes, radīt ciešanas vai citādi kaitēt.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4.pantā ietvertā 18.</w:t>
            </w:r>
            <w:r w:rsidR="00000000" w:rsidRPr="00000000" w:rsidDel="00000000">
              <w:rPr>
                <w:vertAlign w:val="superscript"/>
                <w:rtl w:val="0"/>
              </w:rPr>
              <w:t xml:space="preserve">6</w:t>
            </w:r>
            <w:r w:rsidR="00000000" w:rsidRPr="00000000" w:rsidDel="00000000">
              <w:rPr>
                <w:rtl w:val="0"/>
              </w:rPr>
              <w:t xml:space="preserve"> panta otrā daļa ir imperatīva norma, savukārt no šobrīd spēkā esošā Ministru kabineta 2012.gada 19.jūnija noteikumu Nr.428 "Kārtība, kādā suni atzīst par bīstamu, un prasības bīstama suņa turēšanai" 20.2.apakšpunkta izriet, ka Pārtikas un veterinārajam dienestam ir rīcības brīvība noteikt suņa eitanāziju, ja suņa uzbrukuma dēļ cilvēkam ir nodarīts smags miesas bojājums vai iestājusies nāve.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 Grozījumi par šā likuma 5.</w:t>
            </w:r>
            <w:r w:rsidR="00000000" w:rsidRPr="00000000" w:rsidDel="00000000">
              <w:rPr>
                <w:vertAlign w:val="superscript"/>
                <w:rtl w:val="0"/>
              </w:rPr>
              <w:t xml:space="preserve">1</w:t>
            </w:r>
            <w:r w:rsidR="00000000" w:rsidRPr="00000000" w:rsidDel="00000000">
              <w:rPr>
                <w:rtl w:val="0"/>
              </w:rPr>
              <w:t xml:space="preserve"> panta un 10. panta 11. punkta izslēgšanu, 18.</w:t>
            </w:r>
            <w:r w:rsidR="00000000" w:rsidRPr="00000000" w:rsidDel="00000000">
              <w:rPr>
                <w:vertAlign w:val="superscript"/>
                <w:rtl w:val="0"/>
              </w:rPr>
              <w:t xml:space="preserve">6</w:t>
            </w:r>
            <w:r w:rsidR="00000000" w:rsidRPr="00000000" w:rsidDel="00000000">
              <w:rPr>
                <w:rtl w:val="0"/>
              </w:rPr>
              <w:t xml:space="preserve"> pants un grozījumi 50. pantā stājas spēkā 2026.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Ministru kabinets līdz 2026. gada 1. jūlijam izdod šā likuma 18.</w:t>
            </w:r>
            <w:r w:rsidR="00000000" w:rsidRPr="00000000" w:rsidDel="00000000">
              <w:rPr>
                <w:vertAlign w:val="superscript"/>
                <w:rtl w:val="0"/>
              </w:rPr>
              <w:t xml:space="preserve">6</w:t>
            </w:r>
            <w:r w:rsidR="00000000" w:rsidRPr="00000000" w:rsidDel="00000000">
              <w:rPr>
                <w:rtl w:val="0"/>
              </w:rPr>
              <w:t xml:space="preserve"> panta trešajā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aicinām precizēt likumprojekta 8.pantā ietverto pārejas noteikumu 26.punktu, precizējot tieši kādi grozījumi 50.pantā stājas spēkā 2026.gada 1.jūlijā.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likumdevēja dotā pilnvarojuma apjoma skaidrojumu, lai novērstu iespējamās šaubas par to, un anotācija varētu kalpot kā palīglīdzeklis pilnvarojuma interpretācijā, tādējādi savlaicīgi plānojot regulējuma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4.sadaļā aprakstīt jauno Ministru kabineta noteikumu saturisko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ka ar likumprojekta 6. pantu tiks būtiski paplašināts spēkā esošā regulējuma tvērums,anotācijas 3.1. punktā ietverams administratīvās atbildības regulējuma nepieciešamības un pieļaujamības kritēriju pilnvērtīgs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pirms būtiski paplašināt Dzīvnieku aizsardzības likuma 54. pantā ietverta pārkāpuma pazīmes, ir izvērtējami vismaz šādi administratīvās atbildības nepieciešamības un pieļaujamības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 akta (procesa)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sabiedriskās kārtības mērķa sasniegšanas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problēmsituācijas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problēmsituācijas bīstamība un kaitīgums;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aizliegums paredzēt administratīvos sodus par administratīvā akta labprātīgu neizpildīšanu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54.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nozīmīgs rādītājs ir arī problēmsituācijas aktualitāte, proti, vai attiecīgi pārkāpumi faktiski tiek izdarīti pietiekami bieži, lai par to būtu nepieciešams paredzēt administratīvo atbildību, vai esošais regulējums nav novecojis (</w:t>
            </w:r>
            <w:r w:rsidR="00000000" w:rsidRPr="00000000" w:rsidDel="00000000">
              <w:rPr>
                <w:i w:val="1"/>
                <w:rtl w:val="0"/>
              </w:rPr>
              <w:t xml:space="preserve">sal. Informatīvais ziņojums "Nozaru administratīvo pārkāpumu kodifikācijas ieviešanas sistēmas īstenošana", 03.03.2020., 2.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akta (rīkojuma, procesa) prioritātes princips nozīmē to, ka, ja ir nepieciešams panākt, lai persona izpilda noteiktas normatīvo aktu prasības, prioritāte ir administratīvā akta izdošanai, nosakot pienākumu atbilstošā termiņā novērst neatbilstības un izpildīt prasības. Administratīvais sods paredzams tikai tajos gadījumos, kad nepieciešams reaģēt uz kādu personas izdarītu pārkāpumu, kurš vairs nav novēršams un ir ar augstu bīstamības pakāpi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kārtības mērķa sasniegšanas efektivitāte nozīmē, ka ar administratīvās atbildības noteikšanu var sasniegt attiecīgo mērķi (citiem vārdiem, atrisināt konstatēto problēmsituāciju). Šajā aspektā nepieciešams izvērtēt, vai administratīvais sods spēs mazināt konstatēto problēmsituāciju skaitu, apmēru un izplatību sabiedrībā, kā arī vai ar administratīvā pārkāpuma procesā esošajiem līdzekļiem būs iespējams šādas situācijas konstatēt, izmeklēt un pierādīt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nepieciešamību noteikt administratīvo atbildību konkrētas problēmsituācijas risināšanai, jākonstatē tās bīstamība vai kaitīgums sabiedrības interesēm. Proti, jāizvērtē, vai iespējamais pārkāpums var aizskart sabiedriskās intereses tādā mērā, ka nepieciešams paredzēt administratīvo atbildību par to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 lpp.</w:t>
            </w:r>
            <w:r w:rsidR="00000000" w:rsidRPr="00000000" w:rsidDel="00000000">
              <w:rPr>
                <w:rtl w:val="0"/>
              </w:rPr>
              <w:t xml:space="preserve">). Šajā aspektā nozīmīga var būt arī administratīvās atbildības un kriminālatbildības norobežošana.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Likumdevēja izvēle starp noziedzīgu nodarījumu un administratīvo pārkāpumu nedrīkst būt patvaļīga. Administratīvie pārkāpumi izpaužas kā noteiktas pārvaldības kārtības neievērošana, un tie nav saistīti ar sociālu stigmatizāciju vai publisku kaunu (</w:t>
            </w:r>
            <w:r w:rsidR="00000000" w:rsidRPr="00000000" w:rsidDel="00000000">
              <w:rPr>
                <w:i w:val="1"/>
                <w:rtl w:val="0"/>
              </w:rPr>
              <w:t xml:space="preserve">Smiltēna A. Administratīvās atbildības norobežošanas no kriminālatbildības problemātika. Grām.: Administratīvo pārkāpumu tiesības. Administratīvās atbildības likuma skaidrojumi. Sagatavojis autoru kolektīvs. E. Danovska un G. Kūtra zinātniskajā redakcijā. Rīga: Tiesu namu aģentūra, 2020, 23. lpp.</w:t>
            </w:r>
            <w:r w:rsidR="00000000" w:rsidRPr="00000000" w:rsidDel="00000000">
              <w:rPr>
                <w:rtl w:val="0"/>
              </w:rPr>
              <w:t xml:space="preserve">). Šie pārkāpumi ir vienkārši traucējoši labai pārvaldībai vai sabiedriskajai kārtībai, bet tie neietver sevī kādu īpašu ļaunumu vai pilnīgu sabiedrības vai valsts vērtību ignoranci (</w:t>
            </w:r>
            <w:r w:rsidR="00000000" w:rsidRPr="00000000" w:rsidDel="00000000">
              <w:rPr>
                <w:i w:val="1"/>
                <w:rtl w:val="0"/>
              </w:rPr>
              <w:t xml:space="preserve">Kalniņa V. Administratīvo pārkāpumu tiesību sistēmas reforma – domāšanas reforma. Jurista Vārds, 15.11.2016., Nr. 46</w:t>
            </w:r>
            <w:r w:rsidR="00000000" w:rsidRPr="00000000" w:rsidDel="00000000">
              <w:rPr>
                <w:rtl w:val="0"/>
              </w:rPr>
              <w:t xml:space="preserve">). Citiem vārdiem sakot, ja noziedzīgs nodarījums ir ļaunums pats par sevi, tad administratīvais pārkāpums ir morāli neitrāla rīcība un tā izdarītājs – nevērīga vai bezrūpīga persona (</w:t>
            </w:r>
            <w:r w:rsidR="00000000" w:rsidRPr="00000000" w:rsidDel="00000000">
              <w:rPr>
                <w:i w:val="1"/>
                <w:rtl w:val="0"/>
              </w:rPr>
              <w:t xml:space="preserve">Foundations of European Criminal Law. Norel Neagu (Ed.). Bucureşti: Editura C.H. Beck, 2014, p. 67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aizliegts paredzēt administratīvos sodus par administratīvā akta labprātīgu neizpildīšanu. Ja lieta ir uzsākta administratīvajā procesā, tad šajā procesā tā arī ir jāpabeidz, ja nepieciešams, izmantojot administratīvā akta piespiedu izpildes līdzekļus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57.-58.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likumprojekta 6. pantā nav norādīts korespondējošo normu loks. Līdz ar to tipiskam normas adresātam būs grūti paredzēt, par kādu rīcību tieši draud administratīvā atbildība. Ņemot vērā minēto, iesakām attiecīgi precizēt likumprojekta 6.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likumprojekta anotācijā iekļaut pilnvērtīgu soda veida un apmēra izvēles pamatojumu. Pamatojums nepieciešams gan par soda maksimālo apmēru, gan par tā minimālo apmēru. Kaut likuma 54. panta otrajā daļā spēkā esošā soda apmērs ar likumprojektu tiek samazināts, tomēr anotācijā ietverams pilnvērtīgs un argumentēts izvēlēta soda veida un apmēra pamatojums.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25-TA-1902</w:t>
    </w:r>
    <w:r>
      <w:br/>
    </w:r>
    <w:r w:rsidR="00000000" w:rsidRPr="00000000" w:rsidDel="00000000">
      <w:rPr>
        <w:rtl w:val="0"/>
      </w:rPr>
      <w:t xml:space="preserve">Izdrukāts 08.09.2025. 18.22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25-TA-1902</w:t>
    </w:r>
    <w:r>
      <w:br/>
    </w:r>
    <w:r w:rsidR="00000000" w:rsidRPr="00000000" w:rsidDel="00000000">
      <w:rPr>
        <w:rtl w:val="0"/>
      </w:rPr>
      <w:t xml:space="preserve">Izdrukāts 08.09.2025. 18.22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Atzinumi_25-TA-1902.docx</dc:title>
</cp:coreProperties>
</file>

<file path=docProps/custom.xml><?xml version="1.0" encoding="utf-8"?>
<Properties xmlns="http://schemas.openxmlformats.org/officeDocument/2006/custom-properties" xmlns:vt="http://schemas.openxmlformats.org/officeDocument/2006/docPropsVTypes"/>
</file>