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49.4.2. uz to neattiecas tāds attiecīgā jomā kompetentas institūcijas lēmums, prokurora priekšraksts par sodu vai tiesas spriedumu, kas stājies spēkā un kļuvis neapstrīdams un nepārsūdzams, tas nav atzīts par vainīgu un sodīts par pārkāpumu, kas izpaužas kā vienas vai vairāku personu nodarbināšana, ja tām nav nepieciešamās darba atļaujas vai ja tas nav tiesīgas uzturēties Eiropas Savienības dalībvalstī vai kā personas nodarbināšana bez rakstveidā noslēgta darba līguma,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tiesību normai, kas nosaka personas pamattiesību ierobežojumus, jābūt skaidrai un pēc iespējas precīzai (sk. Satversmes tiesas 2010.gada 20.decembra sprieduma lietā Nr. 2010-44-01 11.punktu). Tiesību normas izdevēja pienākums ir rūpēties par to, lai tiesību norma tiktu formulēta tik nepārprotami, ka to varētu pareizi interpretēt un piemērot, bet indivīds varētu apzināties tās piemērošanas tiesiskās sekas (sk. Satversmes tiesas 2010.gada 19.jūnija sprieduma lietā Nr. 2010-02-01 9.4.2.punktu un 2011.gada 11.maija sprieduma lietā Nr. 2010-55-0106 13.1.punktu).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45.punktā ietvertajā Ministru kabineta 2022.gada 13.septembra noteikumu Nr.577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49.4.2.apakšpunkta teikuma otrajā daļā ir paredzēti divi dažādi administratīvie pārkāpumi (Darba likuma 158.pants un likuma “Par nodokļiem un nodevām” 142.panta otrā daļa). Pastāvot nosacījumam par attiecīgo pārkāpumu vienlaicīgu esamību, gala labuma guvējs nevar saņemt noteikto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Sodu reģistra likuma 12.pantā ir noteiktas ziņas, kas tiek iekļautas Sodu reģistrā par administratīvo pārkāpumu izdarījušo personu. Atbilstoši  minētā panta pirmās daļas 8.punktam Sodu reģistrā tiek iekļauta informācija par administratīvā pārkāpuma izdarīšanas (konstatēšanas) datumu, laiku un vietu. Līdz ar to Iekšlietu ministrijas Informācijas centrs sniedz tikai Sodu reģistrā pieejamās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precizēt projekta 45.punktā ietverto Ministru kabineta 2022.gada 13.septembra noteikumu Nr.577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49.4.2.apakšpunkta teikuma otro daļu, nodalot attiecīgos pārkāpumus vienu no otra.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49.4.4. tas neveic preču un vielu, kuru aprite ir aizliegta vai speciāli reglamentēta, pārvietošanu pāri Latvijas Republikas valsts robežai;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45.punktā ietverto Ministru kabineta 2022.gada 13.septembra noteikumu Nr.577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49.4.4.apakšpunktu kā minēto noteikumu 49.4.1.7.apakšpunkta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49.4.5. nav neatļauta piedalīšanās mantiskos darījumos.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45.punktā ietverto Ministru kabineta 2022.gada 13.septembra noteikumu Nr.577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49.4.5.apakšpunktu kā minēto noteikumu 49.4.1.apakšpunkta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24.05.2023.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24.05.2023.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Atzinumi_23-TA-325.docx</dc:title>
</cp:coreProperties>
</file>

<file path=docProps/custom.xml><?xml version="1.0" encoding="utf-8"?>
<Properties xmlns="http://schemas.openxmlformats.org/officeDocument/2006/custom-properties" xmlns:vt="http://schemas.openxmlformats.org/officeDocument/2006/docPropsVTypes"/>
</file>