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iestājies 2024. gads, lūdzam aizstāt informatīvā ziņojuma 3. pielikuma (1.lpp.) saīsinājumu "š.g." ar skaitli un vārdu "2023. 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Eglīte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 pielikuma pirmajā rindkopā (4.lpp.) vārdu "augstlstīs".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Eglīte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2. pielikumā norādīto statistikas informāciju, kur tas ir iespējams, to atjaunojot ar pēdējiem aktuālajiem datiem. Piemēram, informatīvā ziņojuma 2. pielikumā (2.lpp.) ir atsauce uz 2023. gada </w:t>
            </w:r>
            <w:r w:rsidR="00000000" w:rsidRPr="00000000" w:rsidDel="00000000">
              <w:rPr>
                <w:u w:val="single"/>
                <w:rtl w:val="0"/>
              </w:rPr>
              <w:t xml:space="preserve">1. ceturksni</w:t>
            </w:r>
            <w:r w:rsidR="00000000" w:rsidRPr="00000000" w:rsidDel="00000000">
              <w:rPr>
                <w:rtl w:val="0"/>
              </w:rPr>
              <w:t xml:space="preserve">. Tāpat informatīvā ziņojuma 2. pielikumā (4.lpp.) ir atsauce uz 2022. gada Ekonomikas ministrijas prognozēm.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Eglīte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iestājies 2024. gads, lūdzam aizstāt informatīvā ziņojuma 2. pielikuma (1.lpp.) saīsinājumu "š.g." ar skaitli un vārdu "2023. 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Eglīte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iestājies 2024. gads, lūdzam aizstāt informatīvā ziņojuma 1. pielikuma (10.lpp.) saīsinājumu "š.g." ar skaitli un vārdu "2023. gada".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Eglīte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 pielikuma (4.lpp.) 1. rindkopas pēdējo teikumu "Centrālajai centri savukārt būs jāstūrē uz priekšu monetārā savienība, kas ne vienmēr atbilstoši reaģē uz tās veiktajām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Eglīte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iestājies 2024. gads, lūdzam aizstāt informatīvajā ziņojumā vārdus "šī gada" (17.lpp.) un saīsinājumu "š.g." (4., 17., 18. un 19. lpp.) ar skaitli un vārdu "2023.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Kitija Eglīte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16.01.2024.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16.01.2024.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