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maija noteikumos Nr. 259 "Atbalsta piešķiršanas kārtība dalībai starptautiskās sadarbības programmās pētniecības un tehnoloģiju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daži no noteikumu projektā paredzētajiem grozījumiem anotācijā ir tikai citēti, bet nav pamatoti pēc būtības. Norādām, ka anotācijā nepieciešams sniegt pamatojumu visiem projektā ietvertajiem grozījumiem. Attiecīgi aicinām izvērtēt un sniegt izvērstākus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skaidrības labad anotācijas 5. sadaļā atsauces uz </w:t>
            </w:r>
            <w:r w:rsidR="00000000" w:rsidRPr="00000000" w:rsidDel="00000000">
              <w:rPr>
                <w:i w:val="1"/>
                <w:rtl w:val="0"/>
              </w:rPr>
              <w:t xml:space="preserve">Komisijas 2014. gada 17. jūnija Regulu (ES) Nr. 651/2014, ar ko noteiktas atbalsta kategorijas atzīst par saderīgām ar iekšējo tirgu, piemērojot Līguma 107. un 108. pantu (Dokuments attiecas uz EEZ)</w:t>
            </w:r>
            <w:r w:rsidR="00000000" w:rsidRPr="00000000" w:rsidDel="00000000">
              <w:rPr>
                <w:rtl w:val="0"/>
              </w:rPr>
              <w:t xml:space="preserve"> beigās ietvert norādi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tehnisko kļūdu un svītrot noteikumu projekta 1. punktu, kas faktiski paredz svītrot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publiska izglītība, kuras mērķis ir vairot un uzlabot cilvēkresursu prasmes un kas tiek nodrošināta valsts izglītības sistēmas ietvaros un galvenokārt vai pilnībā ir valsts finansēta un uzraudzīta;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izvērstāk skaidrot noteikumu 3.6.1. apakšpunktā ietverto normu, citastarp skaidrojot, kas šīs normas izpratnē ir uzskatāma par publisku izglītību, kā arī skaidrojot, kādos gadījumos normas izpratnē izglītība ir </w:t>
            </w:r>
            <w:r w:rsidR="00000000" w:rsidRPr="00000000" w:rsidDel="00000000">
              <w:rPr>
                <w:u w:val="single"/>
                <w:rtl w:val="0"/>
              </w:rPr>
              <w:t xml:space="preserve">galvenokārt</w:t>
            </w:r>
            <w:r w:rsidR="00000000" w:rsidRPr="00000000" w:rsidDel="00000000">
              <w:rPr>
                <w:rtl w:val="0"/>
              </w:rPr>
              <w:t xml:space="preserve"> valsts finansēta un uzraudzīta, ņemot vērā, ka attiecīgais nosacījums varētu būt subjektīvi interpretējams.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kontekstā gan ar noteikumu 3.6.1. apakšpunkta izteikšanu jaunā redakcijā, gan arī citiem projektā paredzētajiem grozījumiem noteikumos sniegt skaidrojumu, kā paredzētie grozījumi ietekmēs atbalsta saņēmējus, ja tādi ir, un iesāktos projektus, ja tādi ir, tai skaitā, vai šīs personas ir informētas par iespējamiem grozījumiem un tās brīvprātīgi piekritušas šādiem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uz atbalsta pretendentu, tai skaitā saistīto uzņēmumu grupas līmenī, neattiecas līdzekļu atgūšanas rīkojums atbilstoši regulas Nr. </w:t>
            </w:r>
            <w:r w:rsidR="00000000" w:rsidRPr="00000000" w:rsidDel="00000000">
              <w:rPr>
                <w:rtl w:val="0"/>
              </w:rPr>
              <w:t xml:space="preserve">651/2014</w:t>
            </w:r>
            <w:r w:rsidR="00000000" w:rsidRPr="00000000" w:rsidDel="00000000">
              <w:rPr>
                <w:rtl w:val="0"/>
              </w:rPr>
              <w:t xml:space="preserve"> 1. panta 4. punkta "a" apakšpunktam, ja viņš pretendē uz valsts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ietvert atsauci uz attiecīgo regulas vienību, kas skaidro terminu "saistītie uzņēmumi" vai "saistīto uzņēmumu grupa". Alternatīvi aicinām sniegt skaidrojumu noteikumu projekta anotācijā par attiecīgā termina un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vienādot izmantoto terminoloģiju (sk. noteikumu 7.7. apakšpunktā izmantotos vārdus "uzņēmumu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22.08.2024.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22.08.2024.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Atzinumi_24-TA-969.docx</dc:title>
</cp:coreProperties>
</file>

<file path=docProps/custom.xml><?xml version="1.0" encoding="utf-8"?>
<Properties xmlns="http://schemas.openxmlformats.org/officeDocument/2006/custom-properties" xmlns:vt="http://schemas.openxmlformats.org/officeDocument/2006/docPropsVTypes"/>
</file>