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ļoti augstas veiktspējas tīkls – tas ir elektronisko sakaru tīkls, kas pilnībā vai daļēji sastāv no optiskās šķiedras elementiem vismaz līdz sadales punktam apkalpojamā vietā, vai arī elektronisko sakaru tīkls, kas spēj maksimālās noslodzes laikā nodrošināt līdzīgu darbspēju kā parastās noslodzes laikā, t.i. līdzīga elektronisko sakaru tīkla darbspēja un attiecīgi pakalpojumu kvalitātes parametri pieejamā lejuplīnijas un augšuplīnijas frekvenču joslas platumā. Datu pārraides ātrums vismaz 100 Mbit/s;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noteikumu projekta 2.4. un 2.6.apakšpunkta svītrošanu, jo šajos apakšpunktos minētie termini jau skaidroti Elektronisko sakaru likuma 1. pantā un sakaņā ar Ministru kabineta 2009. gada 3. februāra noteikumu Nr. 108 "Normatīvo aktu projektu sagatavošanas noteikumi" 121. punktu noteikumu projektā nesakaidro terminus, kas skaidroti vai lietoti augstāka juridiskā spēka normatīvajā aktā. Nav atbalstāms likumā definētu terminu zemāka juridiskā spēka normatīvajā aktā lietot atšķirīgā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skaidrojumu ("</w:t>
            </w:r>
            <w:r w:rsidR="00000000" w:rsidRPr="00000000" w:rsidDel="00000000">
              <w:rPr>
                <w:i w:val="1"/>
                <w:rtl w:val="0"/>
              </w:rPr>
              <w:t xml:space="preserve">skaidrojam, ka termini ir lietoti atšķirīgās nozīmēs, papildinot ar ierobežojumiem, </w:t>
            </w:r>
            <w:r w:rsidR="00000000" w:rsidRPr="00000000" w:rsidDel="00000000">
              <w:rPr>
                <w:i w:val="1"/>
                <w:u w:val="single"/>
                <w:rtl w:val="0"/>
              </w:rPr>
              <w:t xml:space="preserve">ievērojot konkrētos valsts atbalstu nosacījumus (..)</w:t>
            </w:r>
            <w:r w:rsidR="00000000" w:rsidRPr="00000000" w:rsidDel="00000000">
              <w:rPr>
                <w:rtl w:val="0"/>
              </w:rPr>
              <w:t xml:space="preserve">") norādām, ka minētais jautājums risināms citādi, proti, noteikumu projekta tekstā, piemēram, tā 12.punktā, ir iespējams skaidri definēt atbalsta sniegšanas nosacījumus (piemēram, noteikt, ka "</w:t>
            </w:r>
            <w:r w:rsidR="00000000" w:rsidRPr="00000000" w:rsidDel="00000000">
              <w:rPr>
                <w:i w:val="1"/>
                <w:rtl w:val="0"/>
              </w:rPr>
              <w:t xml:space="preserve">atbalstu sniedz tādu ļoti augtas veiktspējas tīklu ierīkošanai, kas nodrošina datu pārraides ātrumu vismaz 100 Mbit/s un piekļuvi kuriem iespējams nodrošināt ne vēlāk kā mēneša laikā no pieteikuma iesniegšanas dienas</w:t>
            </w:r>
            <w:r w:rsidR="00000000" w:rsidRPr="00000000" w:rsidDel="00000000">
              <w:rPr>
                <w:rtl w:val="0"/>
              </w:rPr>
              <w:t xml:space="preserve"> " ), nevis iekļaut atbalsta nosacījumus termina skaidrojumā.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2.4.1.2.i. investīcijai ir sasaiste 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noteikumu projekta 9.punkta (iepriekš saskaņošanai sūtītajā redakcijā - 8.punkta) svītrošanu.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izziņā norādīts, ka minētais iebildums ņemts vērā, tomēr noteikumu projekts nav attiecīgi precizēts.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īstenošanā finansējuma saņēmēji nepiemēro normatīvos aktus piegādātāju atlases jomā, izņemot atbalsta saņēmējus, kas ir pasūtītāji Publisko iepirkumu likuma izpratnē vai sabiedrisko pakalpojumu sniedzēji Sabiedrisko pakalpojumu sniedzēju iepirkumu likuma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lūdzam noteikumu projekta anotācijā norādīt, vai šis noteikumu projekta punkts saprotams tā, ka finansējuma saņēmējiem nav pienākums pildīt Ministru kabineta 2017. gada 28. februāra noteikumu Nr. 104 "Noteikumi par iepirkuma procedūru un tās piemērošanas kārtību pasūtītāja finansētiem projektiem"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veic nepieciešamās darbības, lai nodrošinātu normatīvajos aktos noteikto pienākumu attiecībā uz finansējuma saņēmēju veikt attiecīgas korektīvās darbības, ievērojot </w:t>
            </w:r>
            <w:r w:rsidR="00000000" w:rsidRPr="00000000" w:rsidDel="00000000">
              <w:rPr>
                <w:rtl w:val="0"/>
              </w:rPr>
              <w:t xml:space="preserve">Ministru kabineta 2021. gada 7. septembra noteikumu Nr. 621 "Eiropas Savienības Atveseļošanas un noturības mehānisma plāna īstenošanas un uzraudzības kārtība"</w:t>
            </w:r>
            <w:r w:rsidR="00000000" w:rsidRPr="00000000" w:rsidDel="00000000">
              <w:rPr>
                <w:rtl w:val="0"/>
              </w:rPr>
              <w:t xml:space="preserve"> 9. punktā noteikto uzdevumu izpildi, tajā skaitā attiecībā uz 2.4.1.2.i. investīcijas mērķa sasniegšanu, ja konstatē, ka netiek ievērotas normatīvajos aktos un līgumā par projekta īstenošanu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svītrot 22.3.apakšpunktu. Vēršam uzmanību, pirmkārt, ka pēc būtības šī norma neparedz nekādu papildus regulējumu, kas jau neizrietētu no Ministru kabineta 2021. gada 7. septembra noteikumiem Nr. 621 "Eiropas Savienības Atveseļošanas un noturības mehānisma plāna īstenošanas un uzraudzības kārtība", tai skaitā no to 9.punkta, un nav nepieciešams šo regulējumu dublēt. Ja CFLA tiek noteikti papildus pienākumi noteikumu projektā regulētās investīcijas uzraudzībā, tad to nepieciešams noteikt skaidri un nepārprotami (piemēram, " uzrauga 2.4.1.2.i. investīcijas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normas redakcija ir nevajadzīgi sarežģīta ("</w:t>
            </w:r>
            <w:r w:rsidR="00000000" w:rsidRPr="00000000" w:rsidDel="00000000">
              <w:rPr>
                <w:i w:val="1"/>
                <w:rtl w:val="0"/>
              </w:rPr>
              <w:t xml:space="preserve">veic darbības, lai nodrošinātu pienākumu veikt attiecīgas darbības</w:t>
            </w:r>
            <w:r w:rsidR="00000000" w:rsidRPr="00000000" w:rsidDel="00000000">
              <w:rPr>
                <w:rtl w:val="0"/>
              </w:rPr>
              <w:t xml:space="preserve">"), un to nepieciešams vienkāršot.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projekta iesniedzēja pieredzes aprakstu, kas sagatavots atbilstoši šo noteikumu 2. pielikumā „Pretendenta pieredzes apraksts” norādītajai formai, lai apliecinātu atbilstību šo noteikumu </w:t>
            </w:r>
            <w:r w:rsidR="00000000" w:rsidRPr="00000000" w:rsidDel="00000000">
              <w:rPr>
                <w:rtl w:val="0"/>
              </w:rPr>
              <w:t xml:space="preserve">23.2. </w:t>
            </w:r>
            <w:r w:rsidR="00000000" w:rsidRPr="00000000" w:rsidDel="00000000">
              <w:rPr>
                <w:rtl w:val="0"/>
              </w:rPr>
              <w:t xml:space="preserve">apakšpunktā</w:t>
            </w:r>
            <w:r w:rsidR="00000000" w:rsidRPr="00000000" w:rsidDel="00000000">
              <w:rPr>
                <w:rtl w:val="0"/>
              </w:rPr>
              <w:t xml:space="preserve"> izvirzītajai prasībai.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ko noteikumu projektam nav 2.pielikuma. Lūdzam attiecīgi precizēt 24.2.apakšpunktu.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informāciju, kas pamato komersanta spēju veikt projekta investīcijas un sasniegt mērķus atbilstoši šo noteikumu 1. pielikuma 2.2. punktā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pielikums, tai skaitā tā 2.2.apakšpunkts nosaka projektu iesniegumu </w:t>
            </w:r>
            <w:r w:rsidR="00000000" w:rsidRPr="00000000" w:rsidDel="00000000">
              <w:rPr>
                <w:u w:val="single"/>
                <w:rtl w:val="0"/>
              </w:rPr>
              <w:t xml:space="preserve">vērtēšanas kritērijus</w:t>
            </w:r>
            <w:r w:rsidR="00000000" w:rsidRPr="00000000" w:rsidDel="00000000">
              <w:rPr>
                <w:rtl w:val="0"/>
              </w:rPr>
              <w:t xml:space="preserve"> un to piemērošanas skaidrojumus, nevis prasības projekta iesniedzējam vai projekta iesnieguma veidlapā norādāmajai informācijai. Ievērojot minēto, lūdzam svītrot vārdus "atbilstoši šo noteikumu 1. pielikuma 2.2. punktā izvirzītajām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 tiesības uz konkrēto objektu vai īpašumu, kurā plānots veikt ieguldījumus ir īpašumā, ilgtermiņa nomā vai nodibinātas apbūves tiesības, bezatlīdzības lietošanā, valdījumā. Finansējuma saņēmēja tiesības uz konkrēto objektu vai īpašumu ir nostiprinātas valsts vienotajā datorizētajā Zemesgrāmatā, izņemot, ja nacionālais normatīvais regulējums nosaka citu kārtību.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precizēt (tai skaitā redakcionāli) precizētajā noteikumu projektā ietverto 25.6.apakšpunktu, tai skaitā lūdzam svītrot vārdus "konkrēto objektu", precizēt punktu atbilstoši Zemesgrāmatu likumā noteiktajam, kā arī skaidrot, kas saprotams ar "nacionālo normatīvo regulējumu", kas varētu noteikt citu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tai skaitā uz to, ka saskaņā ar Zemesgrāmatu likumu, zemesgrāmatās ieraksta </w:t>
            </w:r>
            <w:r w:rsidR="00000000" w:rsidRPr="00000000" w:rsidDel="00000000">
              <w:rPr>
                <w:u w:val="single"/>
                <w:rtl w:val="0"/>
              </w:rPr>
              <w:t xml:space="preserve">nekustamus īpašumus </w:t>
            </w:r>
            <w:r w:rsidR="00000000" w:rsidRPr="00000000" w:rsidDel="00000000">
              <w:rPr>
                <w:rtl w:val="0"/>
              </w:rPr>
              <w:t xml:space="preserve"> (nevis objektus) un nostiprina ar tiem saistītās tiesības. Zemesgrāmatās nostiprina (koroborē) tiesības uz nekustamiem īpašumiem, saprotot ar tiesībām arī tiesību nodrošinājumus un aprobežojumus, ja no likuma satura un tiešā jēguma neizriet pretējais. Lietu tiesības, kas pastāv uz likuma pamata (Civillikuma 1477. pants), var arī nostiprināt zemesgrāmatās pēc to personu vēlēšanās, kam šīs tiesības pieder.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ietvaros izveidotās pasīvās infrastruktūras amortizācijas periods ir 20 gadi un aktīvās infrastruktūras amortizācijas periods ir desmit gadi pēc tās nodošanas ekspluatācijā un tās laikā finansējuma saņēmējs nodrošina projekta rezultātu ilgtspēju, tai skaitā, piekļuvi vismaz tādiem vairumtirdzniecības pakalpojumiem kā komersantam ar būtisku ietekmi tirgū, ko regulē piekļuves pamatpiedāvājuma noteikumi un mazumtirdzniecības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precizēt nosacījumu "</w:t>
            </w:r>
            <w:r w:rsidR="00000000" w:rsidRPr="00000000" w:rsidDel="00000000">
              <w:rPr>
                <w:i w:val="1"/>
                <w:rtl w:val="0"/>
              </w:rPr>
              <w:t xml:space="preserve">tai skaitā, piekļuvi vismaz tādiem vairumtirdzniecības pakalpojumiem kā komersantam ar būtisku ietekmi tirgū, ko regulē piekļuves pamatpiedāvājuma noteikumi un mazumtirdzniecības pakalpojumus</w:t>
            </w:r>
            <w:r w:rsidR="00000000" w:rsidRPr="00000000" w:rsidDel="00000000">
              <w:rPr>
                <w:rtl w:val="0"/>
              </w:rPr>
              <w:t xml:space="preserve">". Norādām, ka no pašreizējās redakcijas nav saprotams, kas tieši jānodrošina finansējuma saņēmējam. Nepieciešamības gadījumā lūdzam izmantot Elektronisko sakaru likumā lietoto frazeoloģiju un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Stimulējošās ietekmes nosacījumu nodrošināšanai atbalstu nedrīkst piešķirt jau uzsāktiem projektiem, kā arī nozares ministrija nodrošina sabiedriskās apspriešanas veikšanu, kurā elektronisko sakaru komersantiem lūgts iesniegt pamatotu informāciju par to tīkliem, kuri atrodas vai kurus ticami plānots ierīkot mērķa teritorijā projekta īstenošanas laikā, publicējot informāciju Satiksmes ministrijas tīmekļa vietnē, kā arī nodrošina, ka pēc sabiedriskās apspriešanas beigām viena gada laikā veic projekta atlasi vai veic jaunu sabiedrisko apspriešanu, ja netika uzsākta projekta atlase.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projekta 44.punktā ietvertos noteikumus, jo šobrīd normas redakcija ir pārprotama, piemēram, "projekts" šo noteikumu izpratnē ir atbalsta sniedzējam iesniegts (vai apstiprināts) projekts, bet šeit tas, iespējams, lietots citā nozīmē. Tāpat nav skaidrs, kam ir pienākums veikt visus šajā noteikumu projekta normā minētos uzdevumus. Tāpat, ja nepieciešams, pārskatāmības un tiesiskās skaidrības nolūkos lūdzam šo noteikumu projekta normu veidot ar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arī vērtēt, cīk sīki nepieciešams regulēt sabiedriskās apspriešanas saturu, ņemot vērā, ka šim institūtam normatīvajos aktos jau ir skaidri noteikts saturs un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Subsidēto elektronisko sakaru tīklu uzraudzības komiteja projekta īstenošanas rezultātā izveidotās infrastruktūras amortizācijas periodā nodrošina 2.4.1.2.i. investīcijas uzraudzību un: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Satiksmes ministrijas skaidrojumu par Subsidēto elektronisko sakaru tīklu uzraudzības komitejas un tarifu regulēšanas nepieciešamību, lūdzam minēto informāciju arī skaidrāk norādīt noteikumu projekta anotācijā, it īpaši attiecībā uz ierobežojuma nepieciešamību, samērīgumu un atbilstību Elektronisko sakaru likumam, jo no precizētajā anotācijā tas viennozīmīgi nav izlasāms.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saskaņo attiecīgo regulējumu, ja pret to neiebilst tai skaitā Regulators un Konkurences padome, tomēr atkārtoti vērš uzmanību, ka šāda tarifu regulēšana 20 gadu periodā ir būtisks komercdarbības ierobežojums, līdz ar to anotācijā nepieciešams skaidrāk pamatot tā nepieciešamību, samērīgumu un atbilstību Elektronisko sakaru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Atbalsta sniedzējs, pamatojoties uz projektu iesniegumu vērtēšanas komisijas sniegto atzinumu, izdod administratīvo aktu (ievērojot Administratīvā procesa likumā noteiktos termiņus) par projekta iesnieguma apstiprināšanu, apstiprināšanu ar nosacījumu vai noraidīšanu.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svītrojot atsauci iekavās uz Administratīvā procesa likumu (APL), jo noteikumu projektā nav nepieciešams īpaši norādīt, ka jāievēro APL noteiktie termiņi. Tāpat ierosinām vārdus "administratīvo aktu" aizstāt ar vārdu "lēmumu" (sk. noteikumu projekta turpmākajās normās lietoto terminoloģiju).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vēršam uzmanību uz APL 68.pantā noteikto, ka, ja piemērojamā tiesību norma paredz administratīvā akta darbību ierobežojoša nosacījuma (piemēram, termiņa, priekšnoteikuma, uzdevuma, atrunas) iekļaušanu administratīvajā aktā, iestāde to norāda administratīvajā aktā. Ja piemērojamā tiesību norma neparedz ierobežojoša nosacījuma iekļaušanu administratīvajā aktā, iestāde to var ietvert: 1) ja pati var lemt par attiecīgā administratīvā akta izdošanu vai tā saturu; 2) lai panāktu administratīvā akta atbilstību tiesību normām. T.i., "lēmums par apstiprināšanu ar nosacījumu" nav patstāvīgs administratīvā akta veids, jo nosacījumus var ietvert jebkurā lēmumā APL 68.panta pirmajā un otrajā daļā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noteikumu projekta 32.punktu precizēt, svītrojot "lēmumu par apstiprināšanu ar nosacījumu", savukārt noteikumu projekta 34.punktā precizēt, ka atbalsta sniedzējs var iekļaut attiecīgos nosacījumus lēmumā par projekta iesnieguma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22-TA-2562</w:t>
    </w:r>
    <w:r>
      <w:br/>
    </w:r>
    <w:r w:rsidR="00000000" w:rsidRPr="00000000" w:rsidDel="00000000">
      <w:rPr>
        <w:rtl w:val="0"/>
      </w:rPr>
      <w:t xml:space="preserve">Izdrukāts 10.03.2023.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22-TA-2562</w:t>
    </w:r>
    <w:r>
      <w:br/>
    </w:r>
    <w:r w:rsidR="00000000" w:rsidRPr="00000000" w:rsidDel="00000000">
      <w:rPr>
        <w:rtl w:val="0"/>
      </w:rPr>
      <w:t xml:space="preserve">Izdrukāts 10.03.2023.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Atzinumi_22-TA-2562.docx</dc:title>
</cp:coreProperties>
</file>

<file path=docProps/custom.xml><?xml version="1.0" encoding="utf-8"?>
<Properties xmlns="http://schemas.openxmlformats.org/officeDocument/2006/custom-properties" xmlns:vt="http://schemas.openxmlformats.org/officeDocument/2006/docPropsVTypes"/>
</file>