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935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Latvijas Ornitoloģijas biedrības (26.02.2025) atzinumā minētajiem iebildumiem un piekrītam, ka šiem MK noteikumu grozījumiem  ir būtiska ietekme uz vidi. Uzsveram, ka uz tiem attiecas tas pats, kas Satversmes tiesas spriedumā par caurmēra cirtēm norādītais (Spriedums nr. 2023-01-03, 2024. gada 8. aprīlī) - pirms tāda normatīvā akta, kuram var būt būtiska ietekme uz vidi, pieņemšanas ir jāvērtē iespējamās ietekmes uz vidi būtiskums un nepieciešamība veikt stratēģisko novērtējumu. Arī šie grozījumi atbilst plānošanas dokumentam, pirms kura pieņemšanas ir veicams stratēģiskais novērtējums.  Attiecīgi noteikumu grozījumu sagatavošanas  procesā, mūsuprāt, nav ievērots Ilgtspējības princips un Piesardzības princips, tātad šis process neatbilst Satversmes 115.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