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24-TA-2434: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Apdrošināšanas un pārapdrošināšanas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skaidrot, kā tiek nodrošināta Eiropas Parlamenta un Padomes 2022. gada 14. decembra direktīvas (ES) 2022/2556 ar ko groza Direktīvas 2009/65/EK, 2009/138/EK, 2011/61/ES, 2013/36/ES, 2014/59/ES, 2014/65/ES, (ES) 2015/2366 un (ES) 2016/2341 attiecībā uz finanšu nozares digitālās darbības noturību (turpmāk - Direktīva 2022/2556) 9. panta 1. punktā noteiktās prasības direktīvas pārņemšanai izpilde. Proti, Direktīvas 2022/2556 9. panta 1. punkts noteic, ka dalībvalstis līdz 2025. gada 17. janvārim pieņem un publicē noteikumus, kas vajadzīgi, lai izpildītu šīs direktīvas prasības. Ņemot vēra, ka ir jau 2025. gada marts, saprotams, ka Latvija nav nodrošinājusi Direktīvas 2022/2556 pārņemšanu noteiktajā laikā. Līdz ar to lūdzam sniegt izvērstu un precīzu skaidrojumu par kavējumu, kā arī izvērtēt un skaidrot iespējamās sekas. Izziņā neprecīzi norādīts uz to, ka Direktīvas 2022/2556 transponēšanas kavējums skaidrots likumprojekta "Finanšu tirgus digitālās darbības noturības un mākslīgā intelekta izmantošanas likums" (24-TA-2371) izziņā, jo īpaši izziņas 9., 10. un 11. punktā, kuros minētie skaidrojumi nav atrodami.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atkārtoti lūdzam izvērtēt un precizēt anotācijas 5.4. sadaļas 1.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1.3. sadaļai un likumprojekta redakcijai tajā ar vispārīgu atsauci ieviesta Eiropas Parlamenta un Padomes 2022. gada 14. decembra Regula (ES) 2022/2554 par finanšu nozares digitālās darbības noturību un ar ko groza Regulas (EK) Nr. 1060/2009, (ES) Nr. 648/2012, (ES) Nr. 600/2014, (ES) Nr. 909/2014 un (ES) 2016/1011 (turpmāk - Regulas 2022/2554). Skaidrojam, ka atsauču uz regulu un tās vienībām ietveršana normatīvajos aktos pēc būtības ir regulas prasību ieviešana, jo tādējādi tiek nodrošināta regulas prasību praktiskā piemērošana. Ievērojot minēto, lūdzam attiecīgi precizēt anotācijas 5. sadaļu. Piemēram, likumprojekta 2. punktā noteikts, ka apdrošināšanas vai pārapdrošināšanas sabiedrība izveido un pārvalda tīklu un informācijas sistēmu atbilstoši </w:t>
            </w:r>
            <w:r w:rsidR="00000000" w:rsidRPr="00000000" w:rsidDel="00000000">
              <w:rPr>
                <w:u w:val="single"/>
                <w:rtl w:val="0"/>
              </w:rPr>
              <w:t xml:space="preserve">Regulas 2022/2554 prasībām</w:t>
            </w:r>
            <w:r w:rsidR="00000000" w:rsidRPr="00000000" w:rsidDel="00000000">
              <w:rPr>
                <w:rtl w:val="0"/>
              </w:rPr>
              <w:t xml:space="preserve">. Attiecīgi, secināms, ka tiek nodrošināta regulas ieviešana un tas atspoguļojams anotācijas 5.4. sadaļas 1.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atkārtoti iesakām pārskatīt anotācijas 5.4. apakšsadaļas 1. tabulā jau ietvertos skaidrojumus un veikt nepieciešamos precizējumus, ņemot vērā, ka likumprojekta informatīvās atsauces uz Eiropas Savienības direktīvām papildinājums pārņem Direktīvas 2022/2556 9. panta 1. punktu, kur noteikts dalībvalsts pienākums pieņemot noteikumus, kas vajadzīgi, lai izpildītu šīs direktīvas prasības, tajos ietver atsauci uz šo direktīvu.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24-TA-2434</w:t>
    </w:r>
    <w:r>
      <w:br/>
    </w:r>
    <w:r w:rsidR="00000000" w:rsidRPr="00000000" w:rsidDel="00000000">
      <w:rPr>
        <w:rtl w:val="0"/>
      </w:rPr>
      <w:t xml:space="preserve">Izdrukāts 14.03.2025. 16.52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24-TA-2434</w:t>
    </w:r>
    <w:r>
      <w:br/>
    </w:r>
    <w:r w:rsidR="00000000" w:rsidRPr="00000000" w:rsidDel="00000000">
      <w:rPr>
        <w:rtl w:val="0"/>
      </w:rPr>
      <w:t xml:space="preserve">Izdrukāts 14.03.2025. 16.52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Atzinumi_24-TA-2434.docx</dc:title>
</cp:coreProperties>
</file>

<file path=docProps/custom.xml><?xml version="1.0" encoding="utf-8"?>
<Properties xmlns="http://schemas.openxmlformats.org/officeDocument/2006/custom-properties" xmlns:vt="http://schemas.openxmlformats.org/officeDocument/2006/docPropsVTypes"/>
</file>