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jūnija noteikumos Nr. 349 "Noteikumi par aizdevumu programmu pret Ukrainu vērstās Krievijas militārās agresijas radīto ekonomisko seku mazināšanai"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saimnieciskās darbības veicējs, kuram aizdevumu piešķir saskaņā ar Komisijas regulu Nr. 2023/2831, vienlaikus darbojas gan vienā vai vairākās atbalstāmajās nozarēs, gan izslēgtajās nozarēs, tad, saņemot aizdevumu saskaņā ar Komisijas regulu Nr.2023/2831, tas nodrošina darbību vai uzskaites nodalīšanu, nodrošinot, ka darbības nozarēs, kuras ir neatbalstāmas, negūst labumu no piešķirtā de minimis atbalsta, saskaņā ar Komisijas regulas Nr. 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redakcionāli skaidru normu (attiecīgo Ministru kabineta noteikumu 20.1. apakšpunktā nedublēt 20. punkta ievaddaļas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saņemot aizdevumu saskaņā ar Komisijas regulu Nr.2023/2831, tas nodrošina darbību vai uzskaites nodalīšanu, nodrošinot, ka darbības nozarēs, kuras ir neatbalstāmas, negūst labumu no piešķirtā de minimis atbalsta, saskaņā ar Komisijas regulas Nr. 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atbalstu sniedz atbilstoši šo noteikumu </w:t>
            </w:r>
            <w:r w:rsidR="00000000" w:rsidRPr="00000000" w:rsidDel="00000000">
              <w:rPr>
                <w:rtl w:val="0"/>
              </w:rPr>
              <w:t xml:space="preserve">6.2.</w:t>
            </w:r>
            <w:r w:rsidR="00000000" w:rsidRPr="00000000" w:rsidDel="00000000">
              <w:rPr>
                <w:rtl w:val="0"/>
              </w:rPr>
              <w:t xml:space="preserve"> apakšpunktam</w:t>
            </w:r>
            <w:r w:rsidR="00000000" w:rsidRPr="00000000" w:rsidDel="00000000">
              <w:rPr>
                <w:rtl w:val="0"/>
              </w:rPr>
              <w:t xml:space="preserve">, subsīdijas ekvivalentu saimnieciskās darbības veicējam sniegtajam atbalstam aprēķina, faktiski piemēroto procentu summu atskaitot no procentu summas, kas jāmaksā saskaņā ar Eiropas Komisijas konkrētajam periodam noteikto bāzes likmi, kā arī riska likmi, kuras procentuālais apmērs tiek noteikts atbilstoši sabiedrības "Altum" izsniegtajam aizdevuma saņēmēja reitingam un piedāvātajam nodrošinājumam (bāzes un risku likmes publicētas Eiropas Komisijas Konkurences ģenerāldirektorāta tīmekļvietnē) un riska likmi, kuras procentuālais apmērs tiek noteikts atbilstoši sabiedrības "Altum" izsniegtajam aizdevuma saņēmēja reitingam un piedāvātajam nodrošinājumam ņemot vērā šo noteikumu </w:t>
            </w:r>
            <w:r w:rsidR="00000000" w:rsidRPr="00000000" w:rsidDel="00000000">
              <w:rPr>
                <w:rtl w:val="0"/>
              </w:rPr>
              <w:t xml:space="preserve">2.</w:t>
            </w:r>
            <w:r w:rsidR="00000000" w:rsidRPr="00000000" w:rsidDel="00000000">
              <w:rPr>
                <w:rtl w:val="0"/>
              </w:rPr>
              <w:t xml:space="preserve"> pielikumā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nedublējot norādi "kuras procentuālais apmērs tiek noteikts atbilstoši sabiedrības "Altum" izsniegtajam aizdevuma saņēmēja reitingam un piedāvātajam nodrošinājumam"".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atbalstu sniedz atbilstoši šo noteikumu 6.2. apakšpunktam, subsīdijas ekvivalentu saimnieciskās darbības veicējam sniegtajam atbalstam aprēķina, faktiski piemēroto procentu summu atskaitot no procentu summas, kas jāmaksā saskaņā ar Eiropas Komisijas konkrētajam periodam noteikto bāzes likmi, kā arī riska likmi (bāzes un risku likmes publicētas Eiropas Komisijas Konkurences ģenerāldirektorāta tīmekļvietnē) un riska likmi, kuras procentuālais apmērs tiek noteikts atbilstoši sabiedrības "Altum" izsniegtajam aizdevuma saņēmēja reitingam un piedāvātajam nodrošinājumam, ņemot vērā šo noteikumu 2. pielikumā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w:t>
    </w:r>
    <w:r>
      <w:br/>
    </w:r>
    <w:r w:rsidR="00000000" w:rsidRPr="00000000" w:rsidDel="00000000">
      <w:rPr>
        <w:rtl w:val="0"/>
      </w:rPr>
      <w:t xml:space="preserve">Izdrukāts 22.04.2024.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w:t>
    </w:r>
    <w:r>
      <w:br/>
    </w:r>
    <w:r w:rsidR="00000000" w:rsidRPr="00000000" w:rsidDel="00000000">
      <w:rPr>
        <w:rtl w:val="0"/>
      </w:rPr>
      <w:t xml:space="preserve">Izdrukāts 22.04.2024.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Atzinumi_24-TA-94.docx</dc:title>
</cp:coreProperties>
</file>

<file path=docProps/custom.xml><?xml version="1.0" encoding="utf-8"?>
<Properties xmlns="http://schemas.openxmlformats.org/officeDocument/2006/custom-properties" xmlns:vt="http://schemas.openxmlformats.org/officeDocument/2006/docPropsVTypes"/>
</file>