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 finansējuma saņēmējs nodrošina nepārklāšanās principu ar citiem valsts un ārvalstu finanšu atbalsta instrumentiem.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4.1.2.1. pasākuma "Nacionāla mēroga veselības veicināšanas un slimību profilakses pasākumi" ietvaros viens no finansējuma saņēmējiem būs Paula Stradiņa Medicīnas vēstures muzejs, un plānots atbalsts tādām darbībā kā jaunu ekspozīciju izveide, kur iespējami neto ieņēmumi, lūdzam papildināt noteikumu projektu ar nosacījumu, ka finansējuma saņēmējam ir pienākums nodrošināt atsevišķu grāmatvedības uzskaiti ar projekta īstenošanu saistītajiem ieņēmumiem un izdevumiem, un ja finansējuma saņēmējs projekta īstenošanas rezultātā gūst neto ieņēmumus, sadarbības iestāde tos atskaita no noslēguma maksājuma, vai papildināt noteikumu projekta anotāciju ar informāciju, ka projekta īstenošanas laikā netiks noteikta ieejas maksa uz projekta ietvaros izveidoto ekspozīciju- Bērnu muzeja klasi.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 ieņēmumi ir gūti, veicot noslēguma maksājuma pieprasījuma pārbaudi un apstiprinot attiecināmos izdevumus, sadarbības iestādei ir jāpārliecinās, vai maksājuma pieprasījuma tabulā ir norādīta gūto ieņēmumu summa un vai projekta kopējo attiecināmo izdevumu summa ir atbilstoši samazināta. Finansējuma saņēmējs gūto ieņēmumu summu pa budžeta pozīcijām var samazināt vai nu proporcionāli no visām pozīcijām, vai no konkrētas pozīcijas;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15.2.</w:t>
            </w:r>
            <w:r w:rsidR="00000000" w:rsidRPr="00000000" w:rsidDel="00000000">
              <w:rPr>
                <w:rtl w:val="0"/>
              </w:rPr>
              <w:t xml:space="preserve"> apakšpunktā minētais finansējuma saņēmējs kopā ar projekta iesniegumu un turpmāk reizi gadā līdz kārtējā gada 1. jūnijam (projekta pārskata periodā) iesniedz sadarbības iestādē informāciju, kas nepieciešama, lai izvērtētu, vai projekts nav saistīts ar saimnieciskās darbības veikšanu vai, ja projektam ir saimniecisks raksturs, projektam nav ietekmes uz konkurenci un tirdzniecību Eiropas Savienības iekšējā tirgū, ko vērtē atbilstoši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iekavās "projekta pārskata periodā" ar vārdiem "projekta dzīves cikla periodā", kā tas tika noteikts iepriekšējā noteikumu projekta saskaņošanas redakcijā. Skaidrojam, ka atbilstību komercdarbības atbalstu izslēdzošiem kritērijiem ir jānodrošina visā projekta dzīves cikla laikā, nevis pārskata periodā. Lūdzam veikt atbilstošu precizējumu arī noteikumu projekta 42. punktā. Vienlaikus lūdzam anotācijā sniegt skaidrojumu par regulējumu, saskaņā ar kuru tiek noteikts projekta dzīves cikls, kā arī norādīt uz kurām izmaksu pozīcijām šo prasību 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ir konstatēts, ka ar saimniecisko darbību nesaistīts projekts tā ieviešanas gaitā vai projekta pārskata periodā kļūst par projektu, kuram neizpildās neviens no šo noteikumu </w:t>
            </w:r>
            <w:r w:rsidR="00000000" w:rsidRPr="00000000" w:rsidDel="00000000">
              <w:rPr>
                <w:rtl w:val="0"/>
              </w:rPr>
              <w:t xml:space="preserve">41.1.</w:t>
            </w:r>
            <w:r w:rsidR="00000000" w:rsidRPr="00000000" w:rsidDel="00000000">
              <w:rPr>
                <w:rtl w:val="0"/>
              </w:rPr>
              <w:t xml:space="preserve"> un </w:t>
            </w:r>
            <w:r w:rsidR="00000000" w:rsidRPr="00000000" w:rsidDel="00000000">
              <w:rPr>
                <w:rtl w:val="0"/>
              </w:rPr>
              <w:t xml:space="preserve">41.2.</w:t>
            </w:r>
            <w:r w:rsidR="00000000" w:rsidRPr="00000000" w:rsidDel="00000000">
              <w:rPr>
                <w:rtl w:val="0"/>
              </w:rPr>
              <w:t xml:space="preserve"> apakšpunktā minētajiem kritērijiem, atbalsta saņēmējam ir pienākums atmaksāt sadarbības iestādei saņemto nelikumīgo komercdarbības atbalstu no līdzekļiem, kas nav saistīti ar valsts atbalstu, atbilstoši Komercdarbības atbalsta kontroles likuma IV un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42. punktu, nodrošinot korektas terminoloģijas lietojumu tajā un lai novērstu nekorektas interpretācijas risku tās piemērošanai. Aicinām izvērtēt iespēju izteikt to, piemēram, piedāvātajā redakcijā. Lūdzam attiecīgi precizēt anotācijā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ir konstatēts, ka ar saimniecisko darbību nesaistīts projekts tā ieviešanas gaitā vai projekta pārskata periodā </w:t>
            </w:r>
            <w:r w:rsidR="00000000" w:rsidRPr="00000000" w:rsidDel="00000000">
              <w:rPr>
                <w:b w:val="1"/>
                <w:rtl w:val="0"/>
              </w:rPr>
              <w:t xml:space="preserve">(projekta dzīves cikla laikā)</w:t>
            </w:r>
            <w:r w:rsidR="00000000" w:rsidRPr="00000000" w:rsidDel="00000000">
              <w:rPr>
                <w:rtl w:val="0"/>
              </w:rPr>
              <w:t xml:space="preserve"> kļūst par projektu, kuram neizpildās neviens no šo noteikumu 41.1. un 41.2. apakšpunktā minētajiem kritērijiem, atbalsta saņēmējam ir pienākums atmaksāt sadarbības iestādei saņemto nelikumīgo komercdarbības atbalstu no līdzekļiem, </w:t>
            </w:r>
            <w:r w:rsidR="00000000" w:rsidRPr="00000000" w:rsidDel="00000000">
              <w:rPr>
                <w:b w:val="1"/>
                <w:rtl w:val="0"/>
              </w:rPr>
              <w:t xml:space="preserve">kas ir brīvi no komercdarbības atbalsta</w:t>
            </w:r>
            <w:r w:rsidR="00000000" w:rsidRPr="00000000" w:rsidDel="00000000">
              <w:rPr>
                <w:rtl w:val="0"/>
              </w:rPr>
              <w:t xml:space="preserve">, atbilstoši Komercdarbības atbalsta kontroles likuma IV un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virzot uz MK īstenošanas noteikumus, par SAM vai pasākumu īstenošanu, aicinām VM izdevumu ieguvumu analīzi veikt atbilstoši EK izmaksu un ieguvumu analīzes vadlīnijās noteiktajiem principiem, pretējā gadījumā anotācijā minētie aprēķini pēc būtības nav izsekojami.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sniegto skaidrojumu, nodrošinot tā atbilstību noteikumu projekta 41.1. apakšpunktā noteiktajam, ka projektam nav saimnieciska rakstura, ja projekta pārskata periodā ieņēmumi no saimnieciskās darbības atbalstītajā objektā ir mazāki par 50 procentiem no kopējām kultūras institūcijas izmaksām, nevis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ministrijas sagatavotajā izziņas 73.punktā skaidroto </w:t>
            </w:r>
            <w:r w:rsidR="00000000" w:rsidRPr="00000000" w:rsidDel="00000000">
              <w:rPr>
                <w:i w:val="1"/>
                <w:rtl w:val="0"/>
              </w:rPr>
              <w:t xml:space="preserve">"Tāpat kompleksi iepirktas ekspozīcijas vai muzejpedagoģiskās programmas ietvaros, var tikt veikti remonti, piemēram sienu pārkrāsošana, strikti saskaņā ar programmu vai konceptu."</w:t>
            </w:r>
            <w:r w:rsidR="00000000" w:rsidRPr="00000000" w:rsidDel="00000000">
              <w:rPr>
                <w:rtl w:val="0"/>
              </w:rPr>
              <w:t xml:space="preserve">, lai ekspozīcijas izveides līguma ietvaros būtu atbalstāmi arī nelieli telpu pielāgošanas darbi, piemēram, sienu krāsošana, lūdzam atbilstoši papildināt anotāciju, norādot, kādas darbības ir atbalstāmas ekspozīcijas izveides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26.10.2023.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26.10.2023.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Atzinumi_23-TA-1568.docx</dc:title>
</cp:coreProperties>
</file>

<file path=docProps/custom.xml><?xml version="1.0" encoding="utf-8"?>
<Properties xmlns="http://schemas.openxmlformats.org/officeDocument/2006/custom-properties" xmlns:vt="http://schemas.openxmlformats.org/officeDocument/2006/docPropsVTypes"/>
</file>