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Pievienotās vērtības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ar sociālajiem partneriem, tādējādi ignorējot sociālo dialogu.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arī uz to, ka piedāvātie grozījumi PVN likumā rada negatīvu finansiālu ietekmi uz budžetu (2026.gadā - 15 milj. eiro, 2027.gadā - 16,4 milj. eiro), kamēr to sagaidāmā ietekme un nepieciešamība ir apšaubāma, ņemot vērā ģeopolitisko situāciju, kad budžeta galvenā prioritāte ir aizsardzība, kas turpmākajos gados prasīs arvien lielāku finansējumu. Tāpēc LDDK atkārtoti aicina kritiski izvērtēt valsts budžetu, lai pēc iespējas ierobežotu valsts parāda pieaugumu un ar to saistītos apkalpošanas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29.09.2025.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29.09.2025.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Atzinumi_25-TA-2272.docx</dc:title>
</cp:coreProperties>
</file>

<file path=docProps/custom.xml><?xml version="1.0" encoding="utf-8"?>
<Properties xmlns="http://schemas.openxmlformats.org/officeDocument/2006/custom-properties" xmlns:vt="http://schemas.openxmlformats.org/officeDocument/2006/docPropsVTypes"/>
</file>