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nodrošināt plānā paredzēto pasākumu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lūdz papildināt plāna 6.4. punktu, nosakot, ka plāna rīcības virziens 6.4. </w:t>
            </w:r>
            <w:r w:rsidR="00000000" w:rsidRPr="00000000" w:rsidDel="00000000">
              <w:rPr>
                <w:i w:val="1"/>
                <w:rtl w:val="0"/>
              </w:rPr>
              <w:t xml:space="preserve">Atbalsta funkciju centralizācija un standartizācija: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neattiecas uz diplomātiskā un konsulārā dienesta darbības IKT atbalstu, tajā skaitā diplomātisko un konsulāro pārstāvniecību darbībai nepieciešamās IKT infrastruktūras uzturēšanu un attīstību, jo tā ir specifiska tehnoloģiju pielietojuma joma, kas nepieļauj standartizētu skaitļošanas infrastruktūras koplietošanas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neskar Ārlietu ministrijas iekšējo auditu, jo  Ārlietu ministrijas iekšējais audits horizontāli veic auditus gan ministrijas centrālajā aparātā, gan 46 diplomātiskajās un konsulārajās pārstāvniecībās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funkciju centralizācijas, standartizācijas iespējas un ierobežojumi jāvērtē, ņemot vērā katras iestādes darbības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Heniņa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23.01.2023.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23.01.2023.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