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23-TA-626: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tiek īstenota starpinstitucionālās sadarbības programma “Bērna māja”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Inspekcija nodrošina iespēju pašvaldības sociālajiem dienestiem iesniegt inspekcijai šajos noteikumos minēto informāciju, izmantojot datu apmaiņas risinājumu starp pašvaldību sociālās palīdzības un sociālo pakalpojumu administrēšanas lietojumprogrammu (turpmāk - lietojumprogramma SOPA) un inspekcijas uzturēto informācijas sistēmu tiešsaistes datu pārraides režīmā ar informācijas sistēmu sasaistes līdzekļu palīdzību.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Anotācijas 3. sadaļa: 3. Tiesību akta projekta ietekme uz valsts budžetu un pašvaldību budžetiem</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33. Inspekcija nodrošina iespēju pašvaldības sociālajiem dienestiem iesniegt inspekcijai šajos noteikumos minēto informāciju, izmantojot datu apmaiņas risinājumu starp pašvaldību sociālās palīdzības un sociālo pakalpojumu administrēšanas lietojumprogrammu (turpmāk - lietojumprogramma SOPA) un inspekcijas uzturēto informācijas sistēmu tiešsaistes datu pārraides režīmā ar informācijas sistēmu sasaistes līdzekļu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sadaļā ietekme uz pašvaldības budžetu nav, savukārt noteikumu projekta 33. punktā noteikts, ka jānodrošina datu apmaiņas risinājums ar SOPA.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ņemt vērā, ka pašvaldību pusē SOPA integrācija ar inspekcijas tehnisko risinājumu vai arī atsevišķs SOPA skatīšanās režīms inspekcijas darbiniekam ir papildu izmaksas pašvaldībām un attiecīgi iekļaut šo informāciju anotācijā, kā arī no valsts budžeta pašvaldībām paredzēt minētajai integrācijai nepieciešamos līdzekļus.</w:t>
            </w:r>
            <w:r w:rsidR="00000000" w:rsidRPr="00000000" w:rsidDel="00000000">
              <w:rPr>
                <w:i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Inspekcija nodrošina iespēju pašvaldības sociālajiem dienestiem iesniegt inspekcijai šajos noteikumos minēto informāciju, izmantojot datu apmaiņas risinājumu starp pašvaldību sociālās palīdzības un sociālo pakalpojumu administrēšanas lietojumprogrammu (turpmāk - lietojumprogramma SOPA) un inspekcijas uzturēto informācijas sistēmu tiešsaistes datu pārraides režīmā ar informācijas sistēmu sasaistes līdzekļu palīdzību.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normatīvā akta projektu, secinām ,ka ,lai gan projekta 33. punktā ir norāde, ka Inspekcija nodrošina iespēju pašvaldības sociālajiem dienestiem iesniegt inspekcijai šajos noteikumos minēto informāciju, izmantojot datu apmaiņas risinājumu starp pašvaldību sociālās palīdzības un sociālo pakalpojumu administrēšanas lietojumprogrammu (SOPA) un inspekcijas uzturēto informācijas sistēmu tiešsaistes datu pārraides režīmā ar informācijas sistēmu sasaistes līdzekļu palīdzību, ietekmes uz valsts un pašvaldības budžetu nav, savukārt Anotācijas sadaļā </w:t>
            </w:r>
            <w:r w:rsidR="00000000" w:rsidRPr="00000000" w:rsidDel="00000000">
              <w:rPr>
                <w:i w:val="1"/>
                <w:rtl w:val="0"/>
              </w:rPr>
              <w:t xml:space="preserve">Tiesību akta projekta ietekme uz valsts budžetu un pašvaldību budžetiem</w:t>
            </w:r>
            <w:r w:rsidR="00000000" w:rsidRPr="00000000" w:rsidDel="00000000">
              <w:rPr>
                <w:rtl w:val="0"/>
              </w:rPr>
              <w:t xml:space="preserve"> saistībā ar datu integrāciju starp sistēmām nav norādīta ietekme ne uz valsts, ne pašvaldību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veikt datu apmaiņas sistēmu integrācijas izmaksu ietekmi uz valsts un pašvaldību budžetu un to iekļaut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digitalizācijas ietvaros plānots veidot jaunu datu izplatīšanas un pārvaldības platformu (DAGR) un saskaņošanā šobrīd ir Datu izplatīšanas un pārvaldības platformas noteikumi (22-TA-2640), lūdzam ņemt vērā, ka arī pašvaldības nākotnē plāno datus nodot vienā veidā – uz DAGR platformu, no kurienes attiecīgi visi datu ņēmēji datus varēs iegūt saskaņā piekļuvēm, kas noteiktas normatīvajā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neparedzēt individuālas risinājumu savstarpējās integrācijas, bet gan datu apmaiņu, izmantojot DAGR.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 ārstniecības pakalpojumu sniedzēji, juridiskās palīdzības sniedzēji un nevalstiskās organizācijas, kas iesaistītas vardarbības gadījuma risināšanā.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institūciju sarakstu ar pašvaldības policiju un ārpusģimenes aprūpes iestādēm. Jo ikdienā šīs institūcijas arī tiek iesaistītas bērnu tiesību aizsardzībā un viņām var būt informācija, kas var nebūt citām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lūgt bērna dzīvesvietas pašvaldības sociālo dienestu organizēt bērna nokļūšanu programmas “Bērna māja” īstenošanas vietā.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šo punktu papildināt ar pašvaldības policiju un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“11.2. lūgt bērna dzīvesvietas pašvaldības sociālo dienestu </w:t>
            </w:r>
            <w:r w:rsidR="00000000" w:rsidRPr="00000000" w:rsidDel="00000000">
              <w:rPr>
                <w:b w:val="1"/>
                <w:i w:val="1"/>
                <w:rtl w:val="0"/>
              </w:rPr>
              <w:t xml:space="preserve">vai pašvaldības policiju</w:t>
            </w:r>
            <w:r w:rsidR="00000000" w:rsidRPr="00000000" w:rsidDel="00000000">
              <w:rPr>
                <w:i w:val="1"/>
                <w:rtl w:val="0"/>
              </w:rPr>
              <w:t xml:space="preserve"> organizēt bērna nokļūšanu programmas “Bērna māja” īstenošanas 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informē bērnu, tā likumisko pārstāvi vai citu bērna tuvinieku, ja bērna likumiskais parstāvis ir bijis iespējamais vardarbības pret bērnu veicējs, par darbībām, kādas ir plānots veikt programmas “Bērna māja” ietvaros un nodrošina iespēju klātienē aplūkot programmas īstenošanas telpas.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pārformulēt šo punktu, jo šādā redakcijā rodas priekšstats, ka ja likumiskais pārstāvis ir arī vardarbības veicējs, tad viņu informē, ko darīs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Pieņemam, ka domāts ir, ja likumiskais pārstāvis ir bijis iespējamais vardarbības pret bērnu veicējs, tad šādā gadījumā informē citu bērna tuvinieku.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Pēc bērnu slimnīcas, bērna dzīvesvietas pašvaldības sociālā dienesta vai bāriņtiesas iesniegtā lūguma izvērtēšanas, inspekcija: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šo punktu papildināt un izteikt sekojošā redakcijā: “</w:t>
            </w:r>
            <w:r w:rsidR="00000000" w:rsidRPr="00000000" w:rsidDel="00000000">
              <w:rPr>
                <w:i w:val="1"/>
                <w:rtl w:val="0"/>
              </w:rPr>
              <w:t xml:space="preserve">16. Pēc bērnu slimnīcas, bērna dzīvesvietas pašvaldības sociālā dienesta, </w:t>
            </w:r>
            <w:r w:rsidR="00000000" w:rsidRPr="00000000" w:rsidDel="00000000">
              <w:rPr>
                <w:b w:val="1"/>
                <w:i w:val="1"/>
                <w:u w:val="single"/>
                <w:rtl w:val="0"/>
              </w:rPr>
              <w:t xml:space="preserve">ārpusģimenes aprūpes iestādes</w:t>
            </w:r>
            <w:r w:rsidR="00000000" w:rsidRPr="00000000" w:rsidDel="00000000">
              <w:rPr>
                <w:i w:val="1"/>
                <w:rtl w:val="0"/>
              </w:rPr>
              <w:t xml:space="preserve"> vai bāriņtiesas iesniegtā lūguma izvērtēšanas, inspekcija: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bērns atrodas ārpusģimenes aprūpes iestādē, tad paredzēt iespēju arī ārpusģimenes aprūpes iestādēm vērsties Bērna mājā ar lūgumu.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20.1.4. par to, vai veikts bērna risku un vajadzību izvērtējums, kā arī izvērtējuma veikšanas datums;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kuras ir tās kompetentās iestādes, kuras vērtēs bērna riskus un vajadzību izvērtējumu. Vai šajā gadījumā tie ir sociālie dienesti un bāriņtiesas? Būtu jāņem vērā 13.06.2017. Ministru kabineta noteikumos “Prasības sociālo pakalpojumu sniedzējiem” noteiktais, ka sociālais dienests </w:t>
            </w:r>
            <w:r w:rsidR="00000000" w:rsidRPr="00000000" w:rsidDel="00000000">
              <w:rPr>
                <w:i w:val="1"/>
                <w:rtl w:val="0"/>
              </w:rPr>
              <w:t xml:space="preserve">14.5. atbilstoši šo noteikumu </w:t>
            </w:r>
            <w:r w:rsidR="00000000" w:rsidRPr="00000000" w:rsidDel="00000000">
              <w:rPr>
                <w:i w:val="1"/>
                <w:u w:val="single"/>
                <w:rtl w:val="0"/>
              </w:rPr>
              <w:t xml:space="preserve">3. pielikumā</w:t>
            </w:r>
            <w:r w:rsidR="00000000" w:rsidRPr="00000000" w:rsidDel="00000000">
              <w:rPr>
                <w:i w:val="1"/>
                <w:rtl w:val="0"/>
              </w:rPr>
              <w:t xml:space="preserve"> minētajiem kritērijiem veic riska novērtēšanu ģimenēs ar bērniem, kurās ir bērna attīstībai nelabvēlīgi apstākļi, aizpilda šo noteikumu </w:t>
            </w:r>
            <w:r w:rsidR="00000000" w:rsidRPr="00000000" w:rsidDel="00000000">
              <w:rPr>
                <w:i w:val="1"/>
                <w:u w:val="single"/>
                <w:rtl w:val="0"/>
              </w:rPr>
              <w:t xml:space="preserve">4. pielikumā</w:t>
            </w:r>
            <w:r w:rsidR="00000000" w:rsidRPr="00000000" w:rsidDel="00000000">
              <w:rPr>
                <w:i w:val="1"/>
                <w:rtl w:val="0"/>
              </w:rPr>
              <w:t xml:space="preserve"> minēto riska novērtējuma anketu par bērnu, bērna vecākiem un, ja nepieciešams, citām pilngadīgām personām, kas piedalās bērna ikdienas aprūpē </w:t>
            </w:r>
            <w:r w:rsidR="00000000" w:rsidRPr="00000000" w:rsidDel="00000000">
              <w:rPr>
                <w:b w:val="1"/>
                <w:i w:val="1"/>
                <w:u w:val="single"/>
                <w:rtl w:val="0"/>
              </w:rPr>
              <w:t xml:space="preserve">vai arī veic daudzpakāpju izvērtēšanu ģimenēs ar bērniem. Daudzpakāpju izvērtēšanu veic sociālais darbinieks, kurš ir pilnveidojis savu profesionālo kompetenci, piedaloties Labklājības ministrijas mācībās un apgūstot uz ģimeni vērsta sociālā gadījuma vadīšanas modeli darbam ģimenēs ar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gadījumos, ja sociālie dienesti veic daudzpakāpju izvērtēšanu un neveic risku izvērtēšanu, tāda informācija tiks uzskatīta par derīgu, vai tomēr papildus tiks gaidīts šāds risku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Inspekcija pieņem bērna likumiskā pārstāvja iesniegumu par nepieciešamību bērnam piešķirt sociālās rehabilitācijas pakalpojumus, ja bērna likumiskais pārstāvis ir izteicis lūgumu par šo pakalpojumu nodrošināšanu, minētajā iesniegumā norādot bērna, kuram sociālās rehabilitācijas pakalpojums piešķirams, vārdu, uzvārdu, personas kodu vai dzimšanas datus, ja bērnam nav personas koda, faktisko dzīvesvietas adresi, vēlamo sociālā rehabilitācijas pakalpojuma sniegšanas vietu un vēlamo sociālās rehabilitācijas pakalpojuma uzsākšanas datumu, kā arī norādot, no kāda veida vardarbības bērns cietis un kur tā notikusi.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kura institūcija pieņem lēmumu par sociālās rehabilitācijas pakalpojuma piešķiršanu, ja pakalpojums tiek nodrošināts Bērna mājas ietvaros, jo MK noteikumi Nr.1613 </w:t>
            </w:r>
            <w:r w:rsidR="00000000" w:rsidRPr="00000000" w:rsidDel="00000000">
              <w:rPr>
                <w:i w:val="1"/>
                <w:rtl w:val="0"/>
              </w:rPr>
              <w:t xml:space="preserve">“Kārtība, kādā nepieciešamo palīdzību sniedz bērnam, kurš cietis no prettiesiskām darbībām”</w:t>
            </w:r>
            <w:r w:rsidR="00000000" w:rsidRPr="00000000" w:rsidDel="00000000">
              <w:rPr>
                <w:rtl w:val="0"/>
              </w:rPr>
              <w:t xml:space="preserve"> nosaka kārtību kādā par valsts budžeta līdzekļiem sniedz nepieciešamo palīdzību no vardarbības cietušiem bērniem. Minētajos noteikumos nav atrunāts, ka pakalpojumu piešķir Bērna māja.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Inspekcija nodrošina bērnam sociālo rehabilitāciju programmā “Bērna māja”, ja bērna likumiskais pārstāvis iesniedzis iesniegumu par nepieciešamību bērnam piešķirt sociālās rehabilitācijas pakalpojumu un ja saskaņā ar rekomendācijām minētais pakalpojums sniedzams programmā “Bērna māja”. Programmā “Bērna māja” sociālās rehabilitācijas pakalpojumu sniedz klīniskajā un veselības un konsultatīvajā psihologu profesionālās darbības jomā Psihologu reģistrā reģistrēti psihologi.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atrunāt, ka gadījumā, ja programmā Bērna māja paši nodrošina sociālo rehabilitāciju bērnam, tad viņi informē par to sociālo dienestu, lai novērstu pakalpojuma piešķiršanu dubultā, ja otrs bērna likumiskais pārstāvis to lūgs nodrošināt caur sociālo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gadījumi, kad bērna likumiskie pārstāvji vienlaicīgi savas dzīvesvietas sociālajā dienestā pieprasa piešķirt vienu un to pašu pakalpojumu vai arī gadījumos, kad bērns saņem pakalpojumu pie vecāka privāti izvēlētā speciālista.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Inspekcijai ir tiesības atteikt bērna likumiskajam pārstāvim vai tuviniekam sniegt informāciju par bērnu un programmas “Bērna māja” īstenošanu, ja šādas informācijas izpaušana var kaitēt bērna interesēm. Pieņemto lēmumu par atteikumu pievieno lietai par programmas “Bērna māja”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institūciju klāstu, piemēram, iekļaujot arī sociālos dienestu, paredzot tiesības atteikt bērna likumiskajam pārstāvim vai tuviniekam sniegt informāciju par bērnu un programmas “Bērna māja” īstenošanu, ja šādas informācijas izpaušana var kaitēt bērna interesēm, ja šī informācija ir pieejama sociālajam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nepieciešams, lai novērstu situācijas, kad Inspekcija atsaka bērna likumiskajam pārstāvim vai tuviniekam sniegt informāciju par bērnu un programmas “Bērna māja” īstenošanu, bet minētā informācija ir pieejama sociālajam dienestam un viņi vēršas un izprasa šo informāciju no sociālā dienesta.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Noslēguma jautājums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ar 39.punktu, kurā atrunāt likumiskā nevardarbīgā pārstāvja pienākumus nodrošināt bērna dalību Bērna mājas programmā un arī rekomendāciju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gadījumus, kad otrs likumiskais pārstāvis neiesaistās sadarbībā un nenodrošina, piemēram, bērna aizvešanu uz sociālās rehabilitācijas pakalpojumu dzīvesvietā, jo ir līdzatkarīgs no vardarbības veicēja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23-TA-626</w:t>
    </w:r>
    <w:r>
      <w:br/>
    </w:r>
    <w:r w:rsidR="00000000" w:rsidRPr="00000000" w:rsidDel="00000000">
      <w:rPr>
        <w:rtl w:val="0"/>
      </w:rPr>
      <w:t xml:space="preserve">Izdrukāts 18.08.2023.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23-TA-626</w:t>
    </w:r>
    <w:r>
      <w:br/>
    </w:r>
    <w:r w:rsidR="00000000" w:rsidRPr="00000000" w:rsidDel="00000000">
      <w:rPr>
        <w:rtl w:val="0"/>
      </w:rPr>
      <w:t xml:space="preserve">Izdrukāts 18.08.2023.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Atzinumi_23-TA-626.docx</dc:title>
</cp:coreProperties>
</file>

<file path=docProps/custom.xml><?xml version="1.0" encoding="utf-8"?>
<Properties xmlns="http://schemas.openxmlformats.org/officeDocument/2006/custom-properties" xmlns:vt="http://schemas.openxmlformats.org/officeDocument/2006/docPropsVTypes"/>
</file>