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2019. gada 3. septembra noteikumos Nr. 416 "Noteikumi par valsts vispārējās vidējās izglītības standartu un vispārējās vidējās izglītības programmu paraugiem" (Latvijas Vēstnesis, 2019, 197. nr.; 2021, 21. nr.; 2022, 96., 175., 190. nr.; 2023, 164.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VAM iekļaušanai mācību stundu plānā, lai sabalansētu izglītojamo slodzi, grozījumi MK noteikumu 11. un 12. pielikumā paredz tiesības izglītības iestādēm samazināt stundu skaitu kursos līdz pat 20 procentiem (šobrīd iespējams līdz 15%). Aicinām minētās  tiesības vēl vairāk samazināt stundu skaitu neattiecināt uz STEM mācību priekšmetiem (matemātika, dabaszinātnes, tehnoloģijas), ņemot vērā gan vājos centralizēto eksāmenu rezultātus matemātikā, gan nepieciešamību kopumā sekmēt jauniešu zināšanas un interesi par STEM priekšmetiem, kas ir būtiski, lai piesaistītu studentus dabas un inženierzinātņu studiju programmām un mazinātu studējošo atbirumu šajās programmās. Jau šobrīd Latvijā trūkst augstas kvalifikācijas IT, inženierzinātņu un dabaszinātņu speciālistu, un Ekonomikas ministrijas darba tirgus prognozes liecina, ka šo speciālistu iztrūkums līdz 2030.gadam varētu pārsniegt 9 tūkstošus.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Rožkalne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28.02.2024.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28.02.2024.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