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likumprojekta 1. pantu paredzēts atkāpties no vispārējās kārtības attiecībā uz mirušās personas kreditoru tiesībām pretendēt uz savas kreditoru pretenzijas segšanu gadījumā, ja parādnieka mantojums atzīts par bezmantinieka mantu. Tieslietu ministrija iepriekš lūdza ietvert anotācijā plašāku izvērtējumu un skaidrojumu par to, kāpēc personas uzkrātais fondētās pensijas kapitāls, ja tās mantojums atzīts par bezmantinieka mantu, nepiedalās mirušās personas kreditoru prasījumu segšanā (tajā skaitā papildinot anotāciju ar izvērtējumu par to, vai šāds regulējums atbilst Satversmes 105.pantam, kas aizsargā katras personas tiesības uz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precizēto likumrpjekta anotāciju, Tieslietu ministrija secina, ka, lai gan anotācija ir papildināta ar lūgto informāciju, tomēr iekļautā informācija nav uzskatāma par pietiekamu. Proti, Tieslietu ministrijas ieskatā satversmības izvērtējumu nevar uzskatīt par pietiekamu, ja atbildes uz satversmības kritērijiem vai izvērtējums par atbilstību tiek sniegts vienā vai divos teikumos. Līdz ar to aicinām tomēr izvērst likumprojekta 1.pantā paredzētā regulējuma atbilstības Satversmes 105. pantam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likumprojekta anotācijā nepastāvot pienācīgam satversmības kritēriju izvērtējumam un pamatojumam, Tieslietu ministrija nevar līdz galam piekrist, ka šobrīd likumprojaktā paredzētais regulējums atbilst Satversmes 105. pantam.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10. panta pirmās daļas 6. punktā minētajiem gada pārskatiem tā piemērošanu uzsāk ar pārskata sagatavošanu par 2025. 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7.punkts paredz papildināt likuma pārejas noteikumus ar 41. punktu šādā redakcijā, nosakot, ka attiecībā uz 10. panta pirmās daļas 6. punktā minētajiem gada pārskatiem tā piemērošanu uzsāk ar pārskata sagatavošanu par 2025.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konkrētu datumu, ar kuru uzsāk 10. panta pirmās daļas 6. punktā minētajo gada pārskatu piemērošanu.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11.11.2024. 13.36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11.11.2024. 13.36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