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15. novembra noteikumos Nr. 857 "Noteikumi par sociālajām garantijām bārenim un bez vecāku gādības palikušajam bērnam, kurš ir ārpusģimenes aprūpē, kā arī pēc ārpusģimenes aprūpes beigšanās"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Pieprasot apliecību pilngadību sasniegušajam bērnam, papildus šo noteikumu 13.1. un 13.2. apakšpunktā minētajiem dokumentiem bāriņtiesa apliecina, ka konkrētais bērns mācās.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spēkā esošā redakcija (16.punkts) nosaka, ka "inspekcija iesniedz izglītības iestādes izziņu, kas apliecina, ka minētais bērns mācās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piedāvātajā jaunajā redakcijā bāriņtiesai tiek uzlikts pienākums apliecināt, ka  konkrētais bērns mācās. Aicinām  šo  normu precizēt, svītrojot bāriņtiesu  vai anotācijā detalizēti skaidrot, kādēļ  bāriņtiesai tiek noteikts šāds neraksturīgs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arī izvērtēt Valsts bērnu tiesību aizsardzības inspekcijas lomu minētajā procesā, tai skaitā izmantojot attiecīgās informācijas sistēmas, kā arī to atspoguļot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Pašvaldība, kuras bāriņtiesa pieņēmusi lēmumu par bērna ārpusģimenes aprūpi, pēc ārpusģimenes aprūpes beigšanās pilngadību sasniegušajam bērnam piešķir vienreizēju pabalstu sadzīves priekšmetu un mīkstā inventāra iegādei sakarā ar patstāvīgas dzīves uzsākšanu. Minētā pabalsta apmērs nedrīkst būt mazāks par 1050 </w:t>
            </w:r>
            <w:r w:rsidR="00000000" w:rsidRPr="00000000" w:rsidDel="00000000">
              <w:rPr>
                <w:i w:val="1"/>
                <w:rtl w:val="0"/>
              </w:rPr>
              <w:t xml:space="preserve">euro</w:t>
            </w:r>
            <w:r w:rsidR="00000000" w:rsidRPr="00000000" w:rsidDel="00000000">
              <w:rPr>
                <w:rtl w:val="0"/>
              </w:rPr>
              <w:t xml:space="preserve">, un tas paredzēts, lai aprīkotu mājokli ar nepieciešamajiem sadzīves priekšmetiem un mīksto inventāru.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dzēst 5.pielikumu, kurā ir noteikts sadzīves priekšmetu un mīkstā inventāra saraksts, kas jānodrošina pilngadību sasniegušajam bērnam, jo kā norādīts anotācijā saraksts neatbilst šī brīža dzīves reālajām pamatvajadzībām un ir uzskatāms par novecojušu. Dzēšot sarakstu, zūd atskaites punkts pabalsta apmēram. Aicinām izvērtēt iespēju līdzīgi kā citus šajos Ministru kabineta noteikumos noteiktos pabalstus noteikt kā procentuālu atvietojumu no ienākumu mediānas, tādējādi nodrošinot pabalsta apmēra prognozējamu un regulāru pārskatīšanu. Vienlaikus izprotam, ka jāņem vērā, cik šāds procentuāls atspoguļojums būs labskanīgs un tiks uztverts no sabiedrības puses (piemēram, ne mazāk kā 170 %).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14.06.2023.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14.06.2023.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Atzinumi_22-TA-3640.docx</dc:title>
</cp:coreProperties>
</file>

<file path=docProps/custom.xml><?xml version="1.0" encoding="utf-8"?>
<Properties xmlns="http://schemas.openxmlformats.org/officeDocument/2006/custom-properties" xmlns:vt="http://schemas.openxmlformats.org/officeDocument/2006/docPropsVTypes"/>
</file>