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anotācijas sadaļas “Pašreizējā situācija” rindkopā par projektā plānoto darbu sasaisti, sinerģiju un demarkāciju ar citu AF un citu atbalsta instrumentu investīcijām dubultfinansējuma riska mazināšanai (t.i., rindkopa sākas ar tekstu “Īstenojot projektu, finansējuma saņēmēji nodrošina projektā plānoto darbu sasaisti, sinerģiju un demarkāciju ar citu AF un citu atbalsta instrumentu investīcijām dubultfinansējuma riska mazināšanai, tai skaitā šādiem projektiem:…”) svītrot vārdus "RP SIA "Rīgas satiksme" zemās grīdas tramvaju iegāde"",”, jo  RP SIA “Rīgas satiksme” neīstenos zemās grīdas tramvaju iegādes projektu no citu AF vai citu atbalsta instrumentu investīcijām, tādējādi atsauce uz darbu sasaistes, sinerģijas un demarkācijas nodrošināšanu ar šādu projektu nav nepieciešama. Papildus minētajam norādām, ka Ministru kabineta noteikumu projekta anotācijā ir sniegta arī informācija, ka finansējums, kas sākotnēji tika paredzēts četru zemās grīdas tramvaju iegādei, tiek pārvirzīts no investīcijas 1.1.1.2.i.1. uz 1.1.1.2.i.2. un 1.1.1.2.i.3. saistīto pasākumu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 (Aino Salmiņš (LPS)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10.08.2023.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10.08.2023.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Atzinumi_22-TA-1939.docx</dc:title>
</cp:coreProperties>
</file>

<file path=docProps/custom.xml><?xml version="1.0" encoding="utf-8"?>
<Properties xmlns="http://schemas.openxmlformats.org/officeDocument/2006/custom-properties" xmlns:vt="http://schemas.openxmlformats.org/officeDocument/2006/docPropsVTypes"/>
</file>