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priekšlikumiem kapitāla tirgus attīstībai un valsts un pašvaldību kapitālsabiedrībām, kas virzāmas sākotnējam publiskam piedāvājumam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4.1.sadaļu par vienlīdzīgas konkurences nodrošināšanu biržā kotētām valsts un pašvaldību kapitālsabiedrībām un privātpersonām piederošām kapitālsabiedrībām un kapitālsabiedrībām vēlamies tomēr norādīt, ka šobrīd Saeimā virzītie grozījumi Valsts pārvaldes iekārtas likumā jau paredz, ka blakus vai papildus darbības netiks vērtētas no Konkurences padomes puses vēl pirms to uzsākšanas, bet tiks vērtētas vienlīdzīgi ar privātām kapitālsabiedrībām. Attiecībā uz darbinieku atalgojumu šobrīd valsts budžeta likumprojektā vairāk nav ietverti ierobežojumi komerciālām valsts kapitalsabiedrībām.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prasību vienādot nefinanšu mērķu noteikšanas un finansēšanas nosacījumus publiskajām un privātajām kapitālsabiedrībām, it īpaši dotējamu publisko pakalpojumu jomās, jāņem tomēr vērā, ka atsevišķas valsts kapitālsabiedrības dibinātas tikai konkretu nefinanšu mērķu sasniegšanai vai tādu pakalpojumu sniegšanai, ko nesniedz privātais sektors, līdz ar to šādi mērķi privātājā sektorā nav vai nebūs salīdzināmi. Jau šobrīd ir prasība nodalīt un uzskaitīt publiski finansētus pakalpojumus. Salīdzinoši nesen tika ieviestas arī akcionāra gaidu vēstules, lai palīdzētu visu sasniedzamo mērķu kopumu koncentrēt vienā pārredzamā dokumentā. Līdz ar to būtu nepieciešams detalizētāk skaidrot, kādi vēl risinājumi šajā jomā tiek sagaidīti.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Nežberte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11.11.2025. 17.56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11.11.2025. 17.56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Atzinumi_25-TA-1521.docx</dc:title>
</cp:coreProperties>
</file>

<file path=docProps/custom.xml><?xml version="1.0" encoding="utf-8"?>
<Properties xmlns="http://schemas.openxmlformats.org/officeDocument/2006/custom-properties" xmlns:vt="http://schemas.openxmlformats.org/officeDocument/2006/docPropsVTypes"/>
</file>