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Ekonomikas ministrija uzskata, ka papildus piedāvātajam tiešās līnijas regulējumam nepieciešams paredzēt iespēju, kad gala lietotājs ir vienlaikus elektroenerģijas ražotājs un pilnā mērā izmanto saražoto elektroenerģiju savām vajadzībām. Šādā gadījumā būtu nepieciešams atļaut tiešās līnijas ierīkošanu bez papildus birokrātiskiem ierobežojumiem. Tāpēc ierosinām papildināt pantu ar jaunu (4) daļu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Elektroenerģijas gala lietotājam ir tiesības ierīkot tiešo līniju un savā īpašumā esošu elektroenerģijas ražošanas iekārtu, ja lietotājs pilnībā izmanto saražoto elektroenerģiju un tiešā līnija ierīkota atbilstoši šī panta otrās daļas pirmā un otrā punkta nosacījumiem.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vērš uzmanību, ka var aizstāt 29.</w:t>
            </w:r>
            <w:r w:rsidR="00000000" w:rsidRPr="00000000" w:rsidDel="00000000">
              <w:rPr>
                <w:vertAlign w:val="superscript"/>
                <w:rtl w:val="0"/>
              </w:rPr>
              <w:t xml:space="preserve">2</w:t>
            </w:r>
            <w:r w:rsidR="00000000" w:rsidRPr="00000000" w:rsidDel="00000000">
              <w:rPr>
                <w:rtl w:val="0"/>
              </w:rPr>
              <w:t xml:space="preserve"> panta astoņpadsmitās daļas 4.punktā norādītā auditora apliecinājumu attiecībā uz tiem elektroenerģijas ražotājiem, kuri izmanto šā likuma 28., 28.1, 29., 30. pantā vai pārejas noteikumu 52. punktā minētās tiesības, tikai gadījumā, kad elektroenerģijas ražotāja iekārta tiek reģistrēta izcelsmes apliecinājumu reģistrā. Līdz ar to Birojs lūdz izteikt 29.</w:t>
            </w:r>
            <w:r w:rsidR="00000000" w:rsidRPr="00000000" w:rsidDel="00000000">
              <w:rPr>
                <w:vertAlign w:val="superscript"/>
                <w:rtl w:val="0"/>
              </w:rPr>
              <w:t xml:space="preserve">2</w:t>
            </w:r>
            <w:r w:rsidR="00000000" w:rsidRPr="00000000" w:rsidDel="00000000">
              <w:rPr>
                <w:rtl w:val="0"/>
              </w:rPr>
              <w:t xml:space="preserve"> panta astoņpadsmitās daļas 5.punktu citā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5) Birojs apstiprina šajā daļā minētās informācijas pareizību un patiesumu, elektroenerģijas ražotājam reģistrējoties vai atjaunojot reģistrāciju pārvades sistēmas operatora uzturētajā izcelsmes apliecinājumu reģistrā, par elektroenerģijas ražotāju, kurš izmanto šā likuma 28., 28.</w:t>
            </w:r>
            <w:r w:rsidR="00000000" w:rsidRPr="00000000" w:rsidDel="00000000">
              <w:rPr>
                <w:vertAlign w:val="superscript"/>
                <w:rtl w:val="0"/>
              </w:rPr>
              <w:t xml:space="preserve">1</w:t>
            </w:r>
            <w:r w:rsidR="00000000" w:rsidRPr="00000000" w:rsidDel="00000000">
              <w:rPr>
                <w:rtl w:val="0"/>
              </w:rPr>
              <w:t xml:space="preserve">, 29., 30. pantā vai pārejas noteikumu 52. punktā minētās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Anšmite (BVKB)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06.11.2023. 17.53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06.11.2023. 17.53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Atzinumi_22-TA-1828.docx</dc:title>
</cp:coreProperties>
</file>

<file path=docProps/custom.xml><?xml version="1.0" encoding="utf-8"?>
<Properties xmlns="http://schemas.openxmlformats.org/officeDocument/2006/custom-properties" xmlns:vt="http://schemas.openxmlformats.org/officeDocument/2006/docPropsVTypes"/>
</file>