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ietvertais regulējums dažviet dublē vai pat paredz atšķirīgu regulējumu kā Ministru kabineta 2023. gada 13. jūlija noteikumi Nr. 396 "Modernizācijas fonda darbības kārtības noteikumi un daudzgadu darbības programma" (turpmāk - noteikumi Nr. 396). Lūdzam pārskatīt projektu kopumā un svītrot tiesību normas, kas dublējas, kā arī precizēt normas, kurās ietvertais regulējums ir pretrunā ar minētajiem noteikumiem, vai arī sniegt pamatotu skaidrojumu par projektā ietvertajām tiesību normām un to saskanīgumu ar noteikumiem Nr. 396.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dažiem piemēriem un neatbilstībām (papildus lūdzam arī skatīt citus atzinuma punktus par atbilstību noteikumiem Nr. 396):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 punkts dublē noteikumu Nr. 396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19. punkts dublē un, iespējams, paredz pat atšķirīgu regulējumu kā noteikumu Nr. 396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57. punkts, šķiet, daļēji dublē noteikumu Nr. 396 15.1.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59. punkts, iespējams, pilnībā neatbilst noteikumu Nr. 396 15.1. apakšpunktam. Proti, no projekta 59. punkta kopsakarā ar 57. punktu (īpaši norādēm "izsludina konkursu, ievietojot sludinājumu" un "projektu iesniegumu iesniegšanas termiņš ir ne mazāks kā 30 darbadienas pēc konkursa izsludināšanas") nav pilnībā skaidrs, vai un kā ņemts vērā noteikumu Nr. 396 15.1. apakšpunktā paredzētais, ka ieviešanas iestāde </w:t>
            </w:r>
            <w:r w:rsidR="00000000" w:rsidRPr="00000000" w:rsidDel="00000000">
              <w:rPr>
                <w:u w:val="single"/>
                <w:rtl w:val="0"/>
              </w:rPr>
              <w:t xml:space="preserve">vismaz mēnesi pirms atlases uzsākšanas</w:t>
            </w:r>
            <w:r w:rsidR="00000000" w:rsidRPr="00000000" w:rsidDel="00000000">
              <w:rPr>
                <w:rtl w:val="0"/>
              </w:rPr>
              <w:t xml:space="preserve"> </w:t>
            </w:r>
            <w:r w:rsidR="00000000" w:rsidRPr="00000000" w:rsidDel="00000000">
              <w:rPr>
                <w:u w:val="single"/>
                <w:rtl w:val="0"/>
              </w:rPr>
              <w:t xml:space="preserve">par konkursu paziņo</w:t>
            </w:r>
            <w:r w:rsidR="00000000" w:rsidRPr="00000000" w:rsidDel="00000000">
              <w:rPr>
                <w:rtl w:val="0"/>
              </w:rPr>
              <w:t xml:space="preserve"> oficiālajā izdevumā "Latvijas Vēstnesis" un norāda tīmekļvietni, kurā publicēts projektu iesniegumu konkursa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vairāki projekta punkti, kas skar iesniegumu vērtēšanas komisiju, vismaz daļēji dublē noteikumos Nr. 396 jau ietverto regulējumu (sk., piemēram, projekta 65. punktu un noteikumu Nr. 396 16. punktu). Papildus lūdzam izvērtēt un skaidrot, kā projektā ietvertais regulējums attiecībā uz to, kas pieņem lēmumu par projekta iesnieguma apstiprināšanu vai noraidīšanu, atbilst noteikumu Nr. 396 regulējumam, kas noteic, ka lēmumu pieņem projektu iesniegumu vērtēšanas komisija (sk. noteikumu Nr. 396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78. punkts dublē (turklāt nekorekti) noteikumu Nr. 396 24.1.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vismaz daļēji regulējums par projekta līgumu un tā noslēgšanu dublē noteikumos Nr. 396 ietverto regulējumu (sk., piemēram, projekta 81. punkts un noteikumu Nr. 396 20. punkts, kā arī projekta 84. punkts un noteikumu Nr. 396 26.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kapitālsabiedrība (sk. projekta 10.3. apakšpunktu) arī ir komersants (sk. Komerclikuma 1. panta pirmo daļu). Pašvaldības kapitālsabiedrība ir viens no kapitālsabiedrības, kas ir komersants, veidiem. Proti, pašvaldības kapitālsabiedrība ir kapitālsabiedrība, kurā visas kapitāla daļas vai balsstiesīgās akcijas pieder vienai pašvaldībai (sk. Publiskas personas kapitāla daļu un kapitālsabiedrību pārvaldības likuma 1. panta pirmās daļas 13. punktu). Pēc sava juridiskā statusa arī pašvaldības kapitālsabiedrība ir privāto tiesību juridiskā persona. Attiecīgi lūdzam redakcionāli precizēt projekta 10. punktu, kā arī lūdzam izvērtēt projektu kopumā un, ja saistībā ar iepriekš minēto nepieciešams precizēt tajā ietverto regulējumu, veikt attiecīgus precizējumus. Piemēram, vēršam uzmanību uz projekta 27.2. apakšpunktu, kuru, kā izriet no anotācijas, nav paredzēts piemērot attiecībā uz pašvaldības kapitālsabiedrību ("</w:t>
            </w:r>
            <w:r w:rsidR="00000000" w:rsidRPr="00000000" w:rsidDel="00000000">
              <w:rPr>
                <w:i w:val="1"/>
                <w:rtl w:val="0"/>
              </w:rPr>
              <w:t xml:space="preserve">Noteikumu projektā paredzēts, ka, uz finansējumu pretendēt varēs tikai tāds komersants kura īpašumā un savā saimnieciskajā darbībā tiek izmantoti vismaz pieci transportlīdzekļi. Šis noteikums neattiecas uz projekta iesniedzēju, ja tas ir pašvaldība, pašvaldības iestāde, </w:t>
            </w:r>
            <w:r w:rsidR="00000000" w:rsidRPr="00000000" w:rsidDel="00000000">
              <w:rPr>
                <w:i w:val="1"/>
                <w:u w:val="single"/>
                <w:rtl w:val="0"/>
              </w:rPr>
              <w:t xml:space="preserve">pašvaldības kapitālsabiedrība</w:t>
            </w:r>
            <w:r w:rsidR="00000000" w:rsidRPr="00000000" w:rsidDel="00000000">
              <w:rPr>
                <w:i w:val="1"/>
                <w:rtl w:val="0"/>
              </w:rPr>
              <w:t xml:space="preserve"> un valsts tiešās pārvaldes iestāde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projekta iesniedzējs vai persona,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kādā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23.1.apakšpunktā minētajiem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13. punktā ietverto regulējumu un veikt attiecīgus precizējumus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noteikumu Nr. 396 23. punktā jau ir ietverts horizontāls regulējums attiecībā uz izslēgšanas kritērijiem visos Modernizācijas fonda ietvaros rīkotajiem konkursiem. Aicinām izvērtēt, vai, ja papildus izslēgšanas kritērijus, kas ietverti projekta 13. punktā un nav ietverti minētajos noteikumos, paredzēts noteikt arī visos nākamajos konkursu nolikumos, nebūtu sistēmiski labāk tos ietvert noteikumos Nr. 396, un sniegt skaidrojumu vai precizēt punktu, ja nepieciešams. Otrkārt, lūdzam arī nodrošināt projekta 13. punktā ietvertā regulējuma saskanīgumu ar noteikumu Nr. 396 23. punktu un normu nedublēšanos. Piemēram, projekta 13.1. apakšpunkts attiecībā uz projekta iesniedzēju faktiski dublē noteikumu Nr. 396 23.1. apakšpunktu. Attiecīgi lūdzam izvērtēt un sniegt skaidrojumus vai, ja nepieciešams, veikt precizējumus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ja tiek izmantots līzinga pakalpojums, līzinga devējs, nodrošina, ka šo noteikumu </w:t>
            </w:r>
            <w:r w:rsidR="00000000" w:rsidRPr="00000000" w:rsidDel="00000000">
              <w:rPr>
                <w:rtl w:val="0"/>
              </w:rPr>
              <w:t xml:space="preserve">20.1. </w:t>
            </w:r>
            <w:r w:rsidR="00000000" w:rsidRPr="00000000" w:rsidDel="00000000">
              <w:rPr>
                <w:rtl w:val="0"/>
              </w:rPr>
              <w:t xml:space="preserve">apakšpunkta</w:t>
            </w:r>
            <w:r w:rsidR="00000000" w:rsidRPr="00000000" w:rsidDel="00000000">
              <w:rPr>
                <w:rtl w:val="0"/>
              </w:rPr>
              <w:t xml:space="preserve"> ietvaros iegādātais elektromobilis netiek atsavināts vismaz četrus gadus kopš tā iegādes brīža vai kamēr ar to veikts vismaz 80 000 km nobraukums (no tā reģistrācijas finansējuma saņēmēja īpašumā vai turējumā brīža), ja tas tiek sasniegts mazāk kā četros gados, izņemot gadījumu, kad iegādātais transportlīdzeklis ir nozagts vai atzīts par bojā gājušu tādu apstākļu dēļ, kur nav konstatēta atbalsta saņēmēja vaina, un īpašuma tiesības uz transportlīdzekli iegūst apdrošināšanas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projekta 31. punktā, 111.2. apakšpunktā un citviet projektā paredzētos īpašumtiesību ierobežojumus un aizliegumus, skaidrojot to nepieciešamību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nepiešķir Regulas Nr. 2023/2831 1. pantā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44.1. apakšpunktu. Vēršam uzmanību, ka tajā iztrūkst kāds vārds, līdz ar ko nav viennozīmīgi saprotams, kāds ir apakšpunktā paredzētais pienākums, turklāt 44. punkts regulē projekta iesniedzēja pienākumus, nevis atbalsta piešķīrēja pienākumus.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iepriekšējos trīs gados, skaitot no atbalsta piešķiršanas dienas, nepārsniedz 300 000 </w:t>
            </w:r>
            <w:r w:rsidR="00000000" w:rsidRPr="00000000" w:rsidDel="00000000">
              <w:rPr>
                <w:i w:val="1"/>
                <w:rtl w:val="0"/>
              </w:rPr>
              <w:t xml:space="preserve">euro</w:t>
            </w:r>
            <w:r w:rsidR="00000000" w:rsidRPr="00000000" w:rsidDel="00000000">
              <w:rPr>
                <w:rtl w:val="0"/>
              </w:rPr>
              <w:t xml:space="preserve">, atbilstoši Regulas Nr. 2023/2831 3. panta 2. punktam, kā arī ievērojot Regulas Nr. 2023/2831 ​​​3. panta 8. punkta nosacījumus uzņēmumu apvienošanās vai iegādes gadījumā un Regulas Nr. 2023/2831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projektā netiek dublētas regulu normas (sk., piemēram, projekta 44.4. apakšpunktu (it īpaši frāzi "ko viena dalībvalsts piešķīrusi") un Regulas Nr. 2023/2831 3. panta 2. punktu) un sniegt skaidrojumu vai,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1. panta 5. punkta nosacījumi, ka atbalsta pasākums neietver Eiropas Savienības tiesību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projekta 49.5. apakšpunktā ietvertās atsauces uz Regulas Nr. 651/2014 1. panta 5. punkta nepieciešamību, kā arī normas tvērumu. Proti, apakšpunktā minētais regulas punkts, šķiet, paredz, ka atbalsta pasākumam (nevis, šķiet, konkrētam projekta iesniegumiem) jāatbilst punktā minētajiem nosacījumiem. Attiecīgi lūdzam skaidrot, kādēļ šādu norādi vispār nepieciešams paredzēt un kam un kāds tieši pienākums projektā ir paredzēts saistībā minēto regulas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transportlīdzekļa, kas aprīkots ar fosilās degvielas darbināmu iekšdedzes dzinēju, likvidācijas sertifikāta kas izdots ne agrāk kā pirms šo noteikumu spēkā stāšanās dienas izraksta kopija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60.3. apakšpunktu, jo norma ir neskaidra. Proti, nav konkrēti noteikts, kādā termiņā (laikposmā) likvidācijas sertifikātam ir jābūt izdotam. Proti, aicinām svītrot vārdu "pirms" un vārdu "dienas" aizstāt ar "dienā" vai konkrēti noteikt laikposmu, kādā pirms noteikumu spēkā stāšanās dienas sertifikāts var būt izdots. Alternatīvi lūdzam sniegt skaidrojumu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tiek konstatēta neatbilstība vienam vai vairākiem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minētajiem precizējamiem administratīvajiem vērtēšanas kritērijiem, tai skaitā arī aritmētiskas kļūdas, Vides investīciju fonds pamatojoties uz vērtēšanas komisijas vērtējumu pieņem lēmumu par projekta iesnieguma apstiprināšanu ar nosacījumu un aicina projekta iesniegumu precizēt atbilstoši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69. punktu u.c. saistītās normas saistībā ar lēmuma par projekta iesnieguma apstiprināšanu ar nosacījumu paredzēšanu attiecīgajā situācijā. Vēršam uzmanību, ka lēmums par projekta iesnieguma apstiprināšanu ar nosacījumu nebūtu attiecināms uz iesnieguma precizēšanu. Proti, iesniegumu būtu vispirms jāprasa precizēt un tikai tad jālemj par to pēc būtības. Arī anotācijā ietvertā informācija norāda par tādu izpratni ("</w:t>
            </w:r>
            <w:r w:rsidR="00000000" w:rsidRPr="00000000" w:rsidDel="00000000">
              <w:rPr>
                <w:i w:val="1"/>
                <w:rtl w:val="0"/>
              </w:rPr>
              <w:t xml:space="preserve">Saskaņā ar šo noteikumu projekta X. sadaļā "Projekta iesnieguma vērtēšana un lēmuma pieņemšana" noteikto, </w:t>
            </w:r>
            <w:r w:rsidR="00000000" w:rsidRPr="00000000" w:rsidDel="00000000">
              <w:rPr>
                <w:i w:val="1"/>
                <w:u w:val="single"/>
                <w:rtl w:val="0"/>
              </w:rPr>
              <w:t xml:space="preserve">tikai administratīvās vērtēšanas kritērijiem atbilstošie projekti tiek virzīti kvalitātes vērtēšanai</w:t>
            </w:r>
            <w:r w:rsidR="00000000" w:rsidRPr="00000000" w:rsidDel="00000000">
              <w:rPr>
                <w:i w:val="1"/>
                <w:rtl w:val="0"/>
              </w:rPr>
              <w:t xml:space="preserve"> un sarindoti pēc augstākā kvalitātes kritērijos iegūtā kopējā punktu skaita un priekšroku dod projektam ar lielāko kopējo punktu skaitu.</w:t>
            </w:r>
            <w:r w:rsidR="00000000" w:rsidRPr="00000000" w:rsidDel="00000000">
              <w:rPr>
                <w:rtl w:val="0"/>
              </w:rPr>
              <w:t xml:space="preserve">"), kaut tāda neizriet no projekta 69. punkta. Attiecīgi lūdzam izvērtēt un precizēt projektu vai sniegt pamatotu skaidrojumu par izvēlēto risinājumu. Salīdzinājumam lūdzam sk. Ministru kabineta 2021. gada 21. decembra noteikumu Nr. 896 "Emisijas kvotu izsolīšanas instrumenta finansēto projektu atklāta konkursa "Siltumnīcefekta gāzu emisijas samazināšana transporta sektorā – atbalsts bezemisiju un mazemisiju transportlīdzekļu iegādei" nolikums" 41.1.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projekta iesnieguma iesniedzējs nenoslēdz projekta līgumu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minētajā termiņā, tas zaudē tiesības slēgt projekta līgumu, un tiesības slēgt projekta līgumu pāriet nākamajiem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82. punktu, ņemot vērā, ka, kamēr lēmums par projekta iesnieguma apstiprināšanu ir spēkā, personai ir tiesības prasīt tā izpildi. Proti, automātiski tiesības neviens nezaudē, kamēr lēmums ir spēkā. Attiecīgi priekšnosacījums tiesību zaudēšanai ir lēmuma spēka zaudēšana. Papildus aicinām izvērtēt, vai projektā vispār nepieciešams ietvert 82. punktu, ņemot vērā, ka noteikumu Nr. 396 21. punkts arī pēc būtības regulē to pašu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pielikumos neietver pastāvīgas tiesību normas un normas, kas neizriet no noteikumu pamatteksta. Ņemot vērā minēto, lūdzam izvērtēt projekta 1. pielikuma 2.3. un 2.4. sadaļas piezīmi attiecībā uz zemes īpašumtiesībām vai ilgtermiņa nomas tiesībām, un vai nu sniegt skaidrojumu, no kādas projekta pamatteksta normas izriet attiecīgā prasība, vai precizēt projekta pamattekstu.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 sadaļā ietverto informāciju par regulu normu ieviešanu projektā. Piemēram, projekta 5. punktā ietverta atsauce uz Komisijas 2014. gada 17. jūnija regulas (ES) Nr. 651/2014, ar ko noteiktas atbalsta kategorijas atzīst par saderīgām ar iekšējo tirgu, piemērojot Līguma 107. un 108. pantu, 36.a un 36.b pantu, taču attiecīga informācija par to tabulā nav atspoguļota.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projekta iesniedzējs vai persona,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kādā no </w:t>
            </w:r>
            <w:r w:rsidR="00000000" w:rsidRPr="00000000" w:rsidDel="00000000">
              <w:rPr>
                <w:rtl w:val="0"/>
              </w:rPr>
              <w:t xml:space="preserve">Ministru kabineta 2023.gada 13.jūlija noteikumu Nr.396 “Modernizācijas fonda darbības kārtības noteikumi un daudzgadu darbības programma”</w:t>
            </w:r>
            <w:r w:rsidR="00000000" w:rsidRPr="00000000" w:rsidDel="00000000">
              <w:rPr>
                <w:rtl w:val="0"/>
              </w:rPr>
              <w:t xml:space="preserve"> 23.1.apakšpunktā minētajiem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13.1. apakšpunktu, svītrojot atsauci uz to, ka prokurora priekšraksts par sodu vai tiesas spriedums kļuvis neapstrīdams, jo gan priekšraksts par sodu, gan tiesas spriedums var kļūt nepārsūdzams, nevis neapstrīdams.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Konkursa ietvaros pieejamais kopējais Modernizācijas fonda finansējums ir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IV. nodaļas nosaukumu, svītrojot vārdu "tajās" vai citādi atbilstoši precizējot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visās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"visās" kā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izmaksas, kas pārsniedz apstiprinātajā projekta iesniegumā un projekta līgumā paredzēto attiecināmo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projekta 23.2. apakšpunktu, ņemot vērā, ka projekta iesniegums ir neatņemama projekta līguma sastāvdaļa (sk. noteikumu Nr. 396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elektromobiļa nobraukums starp pilnas uzlādes reizēm atbilstoši normatīvajiem aktiem par mopēdu, mehānisko transportlīdzekļu, to piekabju un sastāvdaļu atbilstības novērtēšanu testa braukšanas ciklam pilsētas apstākļos ir vismaz 150 km  un elektromobiļa maksimālais ātrums ir vismaz 90 km stundā. Ja atbilstības sertifikātā nav norādīts nobraucamais attālums starp uzlādes reizēm, tad nepieciešama transportlīdzekļa oficiālā dīlera izziņa ar apliecinājumu, ka transportlīdzeklis pilsētas apstākļos starp pilnas uzlādes reizēm spēj veikt vismaz 150 km nobraukumu;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terminu "oficiālais dīleris" aizvietot ar citu piemērotu normatīvajos aktos lietotu terminu vai to salāgot ar projekta 32. punktu, vai arī skaidrot teminu projektā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iesniedzējs – komersants –,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aktivitātes ietvaros plāno iegādāties vismaz trīs elektromobiļus.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kādēļ projekta 27.3. apakšpunktā paredzēts, ka projekta iesniedzējs - komersants - noteikumu 20.1. apakšpunktā minētās atbalstāmās darbības ietvaros iegādājas vismaz trīs elektromobiļus, kā arī, kādēļ šāds nosacījums paredzēts tieši attiecībā uz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šo noteikumu </w:t>
            </w:r>
            <w:r w:rsidR="00000000" w:rsidRPr="00000000" w:rsidDel="00000000">
              <w:rPr>
                <w:rtl w:val="0"/>
              </w:rPr>
              <w:t xml:space="preserve">20.1. </w:t>
            </w:r>
            <w:r w:rsidR="00000000" w:rsidRPr="00000000" w:rsidDel="00000000">
              <w:rPr>
                <w:rtl w:val="0"/>
              </w:rPr>
              <w:t xml:space="preserve">apakšpunkta</w:t>
            </w:r>
            <w:r w:rsidR="00000000" w:rsidRPr="00000000" w:rsidDel="00000000">
              <w:rPr>
                <w:rtl w:val="0"/>
              </w:rPr>
              <w:t xml:space="preserve"> ietvaros elektromobili iegādājas no elektromobiļa ražotāja vai komersanta, ko elektromobiļa ražotājs ir oficiāli pilnvarojis pārstāvēt tā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anotācijā vai precizēt projektā, kas un kā praktiski pārbaudīs projekta 32. punktā paredzēto nosacījumu par to, ka elektromobili iegādājas no elektromobiļa ražotāja vai komersanta, ko elektromobiļa ražotājs ir oficiāli pilnvarojis pārstāvēt tā intereses (proti, vai to dara finansējuma saņēmējs vai projektu iesniegumu vērtēšanas komisija, vērtējot iesniegumu - salīdzinājumam sk. Ministru kabineta 2014.gada 4.februāra noteikumu Nr.78 "Klimata pārmaiņu finanšu instrumenta finansēto projektu atklāta konkursa "Siltumnīcefekta gāzu emisijas samazināšana transporta sektorā – atbalsts elektromobiļu un to uzlādes infrastruktūras ieviešanai" nolikums" 29.4.2.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iesniedzējs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aktivitātes ietvaros var iegādāties un uzstādīt vienu vai vairākas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nepieciešams, salāgot projekta 36. punktu ar 20.3. apakšpunktu, kurā ir norāde arī uz </w:t>
            </w:r>
            <w:r w:rsidR="00000000" w:rsidRPr="00000000" w:rsidDel="00000000">
              <w:rPr>
                <w:u w:val="single"/>
                <w:rtl w:val="0"/>
              </w:rPr>
              <w:t xml:space="preserve">inženiertehnisko sistēmu un iekārtu</w:t>
            </w:r>
            <w:r w:rsidR="00000000" w:rsidRPr="00000000" w:rsidDel="00000000">
              <w:rPr>
                <w:rtl w:val="0"/>
              </w:rPr>
              <w:t xml:space="preserve">, kas ražo </w:t>
            </w:r>
            <w:r w:rsidR="00000000" w:rsidRPr="00000000" w:rsidDel="00000000">
              <w:rPr>
                <w:u w:val="single"/>
                <w:rtl w:val="0"/>
              </w:rPr>
              <w:t xml:space="preserve">vai uzkrāj</w:t>
            </w:r>
            <w:r w:rsidR="00000000" w:rsidRPr="00000000" w:rsidDel="00000000">
              <w:rPr>
                <w:rtl w:val="0"/>
              </w:rPr>
              <w:t xml:space="preserve"> enerģiju. Alternatīvi aicinām sniegt skaidrojumu, kādēļ precizējumi 36. punktā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izmaksas, kas saistītas ar būvobjekta (elektromobiļa uzlādes punkta un ar to saistītās infrastruktūras) nodošanu ekspluatācijā saskaņā ar būvniecības jomu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"saskaņā ar būvniecības jomu reglamentējošajiem normatīvajiem aktiem" aizstāt ar atsauci "saskaņā ar normatīvajiem aktiem būvniecības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Komercdarbības atbalstu saskaņā ar Regulu Nr. </w:t>
            </w:r>
            <w:r w:rsidR="00000000" w:rsidRPr="00000000" w:rsidDel="00000000">
              <w:rPr>
                <w:rtl w:val="0"/>
              </w:rPr>
              <w:t xml:space="preserve">651/2014 </w:t>
            </w:r>
            <w:r w:rsidR="00000000" w:rsidRPr="00000000" w:rsidDel="00000000">
              <w:rPr>
                <w:rtl w:val="0"/>
              </w:rPr>
              <w:t xml:space="preserve"> projekta iesniedzējam piešķir, ja ievēroti arī visi šādi Regulas Nr. </w:t>
            </w:r>
            <w:r w:rsidR="00000000" w:rsidRPr="00000000" w:rsidDel="00000000">
              <w:rPr>
                <w:rtl w:val="0"/>
              </w:rPr>
              <w:t xml:space="preserve">651/2014</w:t>
            </w:r>
            <w:r w:rsidR="00000000" w:rsidRPr="00000000" w:rsidDel="00000000">
              <w:rPr>
                <w:rtl w:val="0"/>
              </w:rPr>
              <w:t xml:space="preserve"> ​​​​​​​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49. punktu, konkretizējot subjektu un tiesību vai pienākumu (kam kas ir jāievēro vai kam kas ir jāpārbauda), tādējādi veidojot skaidru un nepārprotamu tiesību normu. Papildus norādām, ka projekta 49.3. apakšpunkts, šķiet, dublē 13.4. apakšpunktu. Attiecīgi aicinām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Lielais komersants, kas plāno īstenot kādu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aktivitātēm saskaņā ar Regulu </w:t>
            </w:r>
            <w:r w:rsidR="00000000" w:rsidRPr="00000000" w:rsidDel="00000000">
              <w:rPr>
                <w:rtl w:val="0"/>
              </w:rPr>
              <w:t xml:space="preserve">Nr. 651/2014</w:t>
            </w:r>
            <w:r w:rsidR="00000000" w:rsidRPr="00000000" w:rsidDel="00000000">
              <w:rPr>
                <w:rtl w:val="0"/>
              </w:rPr>
              <w:t xml:space="preserve">, pirms projekta īstenošanas uzsākšanas un projekta īstenošanas laikā izpilda minētās regulas 8. panta 3. punktā noteiktās prasības, kā arī aizpilda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51. punktā ietverto atsauci uz Regulas Nr. 651/2014 8. panta 3. punktā noteiktajām "prasībām" vai kā citādi precizēt punktu. Proti, minētajā regulas normā nav paredzēta gluži kāda prasība, kas jāievēro, bet gan atbalsta kumulēšanas iespējas. Attiecīgi aicinām redakcionāli precizēt normu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piedalītos konkursā, projekta iesnieguma iesniedzējs aizpilda un elektroniska dokumenta veidā, kas sagatavots atbilstoši normatīvajiem aktiem par elektronisko dokumentu noformēšanu, iesniedz Vides investīciju fondā projekta iesnieguma veidlapu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papildus iesniedzamos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likumu, kurā noteikts, ka projekta iesniedzējam ir pienākums projekta iesniegumu iesniegt elektroniskā dokumenta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Administratīvo aktu vai pārvaldes lēmumu par projekta iesnieguma apstiprināšanu, apstiprināšanu ar nosacījumu vai noraidīšanu Vides investīciju fonds paziņo projekta iesniedzējam piecu darbdienu laikā pēc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76. punktu, jo tas dublē projekta 80.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Īpašuma tiesības attiecībā uz projekta ietvaros atbalstītajiem infrastruktūras objektiem nemaina, un ieguldījums paliek Latvijas Republikas teritorijā vismaz četrus gadus pēc projekta noslēguma maksājuma veikšanas finansējuma saņēmējam. Īpašuma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atkāpi par pašvaldības īpašuma nodošanu pašvaldības iestādes pārvaldībā, nav nepieciešams precizēt projekta 92. punktu attiecībā arī uz valsts pārvaldes iestādēm, ņemot vērā, ka tās arī var būt projekta iesniedzēji (sal. skat., piemēram, Ministru kabineta 2016. gada 29. marta noteikumu Nr. 188 "Darbības programmas "Izaugsme un nodarbinātība" 5.6.1. specifiskā atbalsta mērķa "Veicināt Rīgas pilsētas revitalizāciju, nodrošinot teritorijas efektīvu sociālekonomisko izmantošanu" īstenošanas noteikumi"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pārskatu iesniedz elektroniski kopā ar projekta līgumā minētajiem pamatojošajiem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norādīt, par kādu pārskatu ir runa (proti, projekta īstenošanas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Finansējuma saņēmējs pārskatu iesniedz elektroniski kopā ar projekta līgumā minētajiem pamatojošajiem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kad (kādā termiņā) finansējuma saņēmējs iesniedz projekta īstenošanas pārskatu vai arī sniegt skaidrojumu, kur tas ir vai tiks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Vides investīciju fonds konstatē, ka atbalsta saņēmējs nenodrošina šo noteikumu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110. </w:t>
            </w:r>
            <w:r w:rsidR="00000000" w:rsidRPr="00000000" w:rsidDel="00000000">
              <w:rPr>
                <w:rtl w:val="0"/>
              </w:rPr>
              <w:t xml:space="preserve">punktā</w:t>
            </w:r>
            <w:r w:rsidR="00000000" w:rsidRPr="00000000" w:rsidDel="00000000">
              <w:rPr>
                <w:rtl w:val="0"/>
              </w:rPr>
              <w:t xml:space="preserve"> minēto prasību izpildi, Vides investīciju fonds par to rakstiski informē atbalsta saņēmēju un pieņem lēmumu par atbalsta saņēmējam piešķirtā finanšu instrumenta finansējuma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109. punktā ietverto atsauci uz projekta 110. punktu, jo tajā nav paredzēta konkrēta prasība, ko finansējuma saņēmējs izpilda, bet gan atgūstāmo neattiecināmo līdzekļu apjomu noteikšanas formula.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 šo noteikumu </w:t>
            </w:r>
            <w:r w:rsidR="00000000" w:rsidRPr="00000000" w:rsidDel="00000000">
              <w:rPr>
                <w:rtl w:val="0"/>
              </w:rPr>
              <w:t xml:space="preserve">111. </w:t>
            </w:r>
            <w:r w:rsidR="00000000" w:rsidRPr="00000000" w:rsidDel="00000000">
              <w:rPr>
                <w:rtl w:val="0"/>
              </w:rPr>
              <w:t xml:space="preserve">punktā</w:t>
            </w:r>
            <w:r w:rsidR="00000000" w:rsidRPr="00000000" w:rsidDel="00000000">
              <w:rPr>
                <w:rtl w:val="0"/>
              </w:rPr>
              <w:t xml:space="preserve"> minētajā gadījumā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(1 ‒N</w:t>
            </w:r>
            <w:r w:rsidR="00000000" w:rsidRPr="00000000" w:rsidDel="00000000">
              <w:rPr>
                <w:vertAlign w:val="subscript"/>
                <w:rtl w:val="0"/>
              </w:rPr>
              <w:t xml:space="preserve">ekspl</w:t>
            </w:r>
            <w:r w:rsidR="00000000" w:rsidRPr="00000000" w:rsidDel="00000000">
              <w:rPr>
                <w:vertAlign w:val="subscript"/>
                <w:rtl w:val="0"/>
              </w:rPr>
              <w:t xml:space="preserve">.</w:t>
            </w:r>
            <w:r w:rsidR="00000000" w:rsidRPr="00000000" w:rsidDel="00000000">
              <w:rPr>
                <w:rtl w:val="0"/>
              </w:rPr>
              <w:t xml:space="preserve">/N</w:t>
            </w:r>
            <w:r w:rsidR="00000000" w:rsidRPr="00000000" w:rsidDel="00000000">
              <w:rPr>
                <w:vertAlign w:val="subscript"/>
                <w:rtl w:val="0"/>
              </w:rPr>
              <w:t xml:space="preserve">Līgums</w:t>
            </w:r>
            <w:r w:rsidR="00000000" w:rsidRPr="00000000" w:rsidDel="00000000">
              <w:rPr>
                <w:rtl w:val="0"/>
              </w:rPr>
              <w:t xml:space="preserve">) × EKII×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6"/>
                <w:rtl w:val="0"/>
              </w:rPr>
              <w:t xml:space="preserve">EKII</w:t>
            </w:r>
            <w:r w:rsidR="00000000" w:rsidRPr="00000000" w:rsidDel="00000000">
              <w:rPr>
                <w:sz w:val="26"/>
                <w:vertAlign w:val="subscript"/>
                <w:rtl w:val="0"/>
              </w:rPr>
              <w:t xml:space="preserve">n</w:t>
            </w:r>
            <w:r w:rsidR="00000000" w:rsidRPr="00000000" w:rsidDel="00000000">
              <w:rPr>
                <w:vertAlign w:val="subscript"/>
                <w:rtl w:val="0"/>
              </w:rPr>
              <w:t xml:space="preserve">.l.</w:t>
            </w:r>
            <w:r w:rsidR="00000000" w:rsidRPr="00000000" w:rsidDel="00000000">
              <w:rPr>
                <w:rtl w:val="0"/>
              </w:rPr>
              <w:t xml:space="preserve">  – atgūstamais neattiecināmo līdzekļu apjoms, </w:t>
            </w:r>
            <w:r w:rsidR="00000000" w:rsidRPr="00000000" w:rsidDel="00000000">
              <w:rPr>
                <w:i w:val="1"/>
                <w:rtl w:val="0"/>
              </w:rPr>
              <w:t xml:space="preserve">euro </w:t>
            </w:r>
            <w:r w:rsidR="00000000" w:rsidRPr="00000000" w:rsidDel="00000000">
              <w:rPr>
                <w:rtl w:val="0"/>
              </w:rPr>
              <w:t xml:space="preserve">(noapaļots uz augšu līdz divām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Līgums</w:t>
            </w:r>
            <w:r w:rsidR="00000000" w:rsidRPr="00000000" w:rsidDel="00000000">
              <w:rPr>
                <w:rtl w:val="0"/>
              </w:rPr>
              <w:t xml:space="preserve"> – projekta līgumā un projekta iesniegumā norādītais monitoringa periods,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ekspl</w:t>
            </w:r>
            <w:r w:rsidR="00000000" w:rsidRPr="00000000" w:rsidDel="00000000">
              <w:rPr>
                <w:vertAlign w:val="subscript"/>
                <w:rtl w:val="0"/>
              </w:rPr>
              <w:t xml:space="preserve">.</w:t>
            </w:r>
            <w:r w:rsidR="00000000" w:rsidRPr="00000000" w:rsidDel="00000000">
              <w:rPr>
                <w:rtl w:val="0"/>
              </w:rPr>
              <w:t xml:space="preserve"> – elektromobiļa, uzlādes punkta  un atjaunīgo energoresursu iekārtu ekspluatācijas laiks, gadi. Elektromobiļa, uzlādes punkta vai atjaunīgo energoresursu iekārtas ekspluatācijas laiks ir gadu skaits, kad elektromobilis, uzlādes punkts  vai atjaunīgo energoresursu iekārta ir izmantota projekta monitoringa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EKII – piešķirtais finanšu instrumenta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projekta 110.2. apakšpunkta piemērošanu praksē, ņemot vērā projekta 111. punktā paredzētos finansējuma saņēmēja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Vides investīciju fondam ir tiesības četrus gadus pēc projekta īstenošanas brīža pārbaudīt projekta iesniegumā, projekta līgumā un apliecinošajā dokumentācijā norādīto informāciju, tai skaitā apsekojot projekta īstenošanas vietu vai pārbaudot saistīto dokumentāciju, kurai finansējuma saņēmējam jānodrošina piekļuve vai apskatot projekta ietvaros iegādāto elektromobili, kam finansējuma saņēmējs nodrošina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"brīža" aizstāt ar "beigām" vai citādi atbilstoši precizēt projektu, jo pašlaik norāde uz "projekta īstenošanas brīdi" ir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ietvertas veidlapa. Saistībā ar minēto, ņemot vērā Valsts iestāžu juridisko dienestu vadītāju 2019. gada 14. novembra sanāksmē nolemto (protokols Nr. 3 2. §), aicinām izvērtēt iespēju noteikumu projektā noteikt tikai veidlapā iekļaujamās informācijas saturu un apjomu, savukārt veidlapas dizainu un formu kā ilustratīvu materiālu publicēt, piemēram, ministrijas tīmekļa vietnē. Alternatīvi aicinām anotācijā pamatot, kāpēc tieši šādas veidlapu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skaidrot, kas projekta 1. pielikuma 7.4. apakšpunktā domāts ar "valsts atbalsta programmu apsaimniekotāju lēmumu, ar ko atbalsts tiek atzīts par nelikumīgu un nesaderīgu ar kopējo tirgu", īpaši ņemot vērā, ka tāds nav minēts projekta pamattekstā (sk. 13.4. un 49.3.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saistībā ar projekta 34. punktā ietverto tiesību normu minēts: "</w:t>
            </w:r>
            <w:r w:rsidR="00000000" w:rsidRPr="00000000" w:rsidDel="00000000">
              <w:rPr>
                <w:i w:val="1"/>
                <w:rtl w:val="0"/>
              </w:rPr>
              <w:t xml:space="preserve">Uzlādes infrastruktūras ieviešana un atjaunīgo energoresursu iekārtu iegāde un uzstādīšana bez elektromobiļu iegādes konkursa ietvaros nav atbalstāma</w:t>
            </w:r>
            <w:r w:rsidR="00000000" w:rsidRPr="00000000" w:rsidDel="00000000">
              <w:rPr>
                <w:rtl w:val="0"/>
              </w:rPr>
              <w:t xml:space="preserve">." Aicinām anotācijā izvērstāk skaidrot, kādēļ paredzēts šāds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 projektā ir ievērots un tieši kuras projekta normas nodrošina noteikumu Nr. 396 12.1. apakšpunktā paredzēto nosacījumu attiecībā uz komersantiem (proti, normā ir minēti "</w:t>
            </w:r>
            <w:r w:rsidR="00000000" w:rsidRPr="00000000" w:rsidDel="00000000">
              <w:rPr>
                <w:i w:val="1"/>
                <w:rtl w:val="0"/>
              </w:rPr>
              <w:t xml:space="preserve">komersanti, kuri savā saimnieciskajā darbībā izmanto to īpašumā esošus vismaz piecus transportlīdzekļus </w:t>
            </w:r>
            <w:r w:rsidR="00000000" w:rsidRPr="00000000" w:rsidDel="00000000">
              <w:rPr>
                <w:b w:val="1"/>
                <w:i w:val="1"/>
                <w:rtl w:val="0"/>
              </w:rPr>
              <w:t xml:space="preserve">vai </w:t>
            </w:r>
            <w:r w:rsidR="00000000" w:rsidRPr="00000000" w:rsidDel="00000000">
              <w:rPr>
                <w:i w:val="1"/>
                <w:rtl w:val="0"/>
              </w:rPr>
              <w:t xml:space="preserve">kuri nodrošina sabiedriskā transporta pakalpojumus</w:t>
            </w:r>
            <w:r w:rsidR="00000000" w:rsidRPr="00000000" w:rsidDel="00000000">
              <w:rPr>
                <w:rtl w:val="0"/>
              </w:rPr>
              <w:t xml:space="preserve">").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Konkursa ietvaros ir iespējams maksimāli norakstīt tādu transportlīdzekļu skaitu, cik elektromobiļus plānots iegādāties konkursa ietvaros</w:t>
            </w:r>
            <w:r w:rsidR="00000000" w:rsidRPr="00000000" w:rsidDel="00000000">
              <w:rPr>
                <w:rtl w:val="0"/>
              </w:rPr>
              <w:t xml:space="preserve">." Aicinām konkretizēt, kur tieši noteikumu projektā, norādot konkrētu vienību, minētā prasība ir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23-TA-1486</w:t>
    </w:r>
    <w:r>
      <w:br/>
    </w:r>
    <w:r w:rsidR="00000000" w:rsidRPr="00000000" w:rsidDel="00000000">
      <w:rPr>
        <w:rtl w:val="0"/>
      </w:rPr>
      <w:t xml:space="preserve">Izdrukāts 13.05.2024.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23-TA-1486</w:t>
    </w:r>
    <w:r>
      <w:br/>
    </w:r>
    <w:r w:rsidR="00000000" w:rsidRPr="00000000" w:rsidDel="00000000">
      <w:rPr>
        <w:rtl w:val="0"/>
      </w:rPr>
      <w:t xml:space="preserve">Izdrukāts 13.05.2024.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Atzinumi_23-TA-1486.docx</dc:title>
</cp:coreProperties>
</file>

<file path=docProps/custom.xml><?xml version="1.0" encoding="utf-8"?>
<Properties xmlns="http://schemas.openxmlformats.org/officeDocument/2006/custom-properties" xmlns:vt="http://schemas.openxmlformats.org/officeDocument/2006/docPropsVTypes"/>
</file>