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23-TA-1960: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finansējuma nodrošināšanu lieliem un nozīmīgiem pasākumiem”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finansējuma nodrošināšanu lieliem un nozīmīgiem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izvērstāk skaidrot piedāvāto ļoti lielo pasākumu jeb dižpasākumu kritēriju noteikšanu (proti, kā tika nonākts līdz attiecīgai definīcijai un kritērijiem (piemēram, kādu pētījumu veikšana v.tml.)).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finansējuma nodrošināšanu lieliem un nozīmīgiem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privātpersonām saistošas prasības ietveramas ārējā normatīvajā aktā, lūdzam informatīvajā ziņojumā izvērstāk skaidrot, vai un kādus normatīvos aktus plānots izstrādāt un virzīt apstiprināšanai, lai ieviestu informatīvajā ziņojumā minēto regulējumu par dižpasākumiem, to kritērijiem u.tml. Nepieciešamības gadījumā lūdzam papildināt arī Ministru kabineta sēdes protokollēmuma projektu (piemēram, ar attiecīga satura uzdevumu vai uzdevumiem ministrijai iesniegt attiecīga satura tiesību aktu projektu vai projektus).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finansējuma nodrošināšanu lieliem un nozīmīgiem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2021. gada 7. septembra noteikumu Nr. 606 "Ministru kabineta kārtības rullis" (turpmāk - Ministru kabineta kārtības rullis) 55.2. apakšpunkts noteic, ka atbildīgā ministrija, novirzot projektu saskaņošanai, steidzamības kārtību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w:t>
            </w:r>
            <w:r w:rsidR="00000000" w:rsidRPr="00000000" w:rsidDel="00000000">
              <w:rPr>
                <w:u w:val="single"/>
                <w:rtl w:val="0"/>
              </w:rPr>
              <w:t xml:space="preserve">Par steidzamības pamatu netiek uzskatīts iepriekš laikus zināma uzdevuma izpildes termiņa kavējums.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arī steidzamības pamatojumā minēto informatīvā ziņojuma iesniegšanas termiņu (2023. gada 10. augusts), lūdzam vai nu sniegt izvērstāku skaidrojumu un pamatojumu pēc būtības steidzamības kārtības piemērošanai, vai arī virzīt projektu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iesniegt Valsts kancelejā Ministru prezidenta 2022. gada 13. jūlija rīkojuma Nr. 2022/1.2.1.-225 "Par rīcības komitejas izveidi 2025. gada Eiropas čempionāta finālturnīra basketbolā vīriešiem (FIBA EuroBasket 2025) organizēšanas uzraudzībai" un Ministru prezidenta 2022. gada 1. septembra rīkojuma Nr. 2022/1.2.1.-269 "Par rīcības komitejas izveidi 2024. gada FIA Pasaules rallija čempionāta (WRC) posma organizēšanas uzraudzībai" grozījumus, precizējot abu rīcības komiteju sastāvus, iekļaujot tajos ekonomikas ministru kā otru komiteju vadītāju.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informatīvajā ziņojumā izvērstāk pamatot protokollēmuma projekta 4. punktā paredzēto risinājumu (proti, kā iespējama un paredzēta efektīva komitejas vadība un atbildības sadalījums, ja komitejai ir divi vadītāji).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pārējie pasākumi, kas veicina sociālo labklājību u.c., taču nekvalificējas fiskāli neitrālu dižpasākumu kritērijiem, paliek par jomu atbildīgo ministriju kompetencē.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skaidrības labad ietvert atsauci uz </w:t>
            </w:r>
            <w:r w:rsidR="00000000" w:rsidRPr="00000000" w:rsidDel="00000000">
              <w:rPr>
                <w:u w:val="single"/>
                <w:rtl w:val="0"/>
              </w:rPr>
              <w:t xml:space="preserve">informatīvajā ziņojumā</w:t>
            </w:r>
            <w:r w:rsidR="00000000" w:rsidRPr="00000000" w:rsidDel="00000000">
              <w:rPr>
                <w:rtl w:val="0"/>
              </w:rPr>
              <w:t xml:space="preserve"> minētajiem fiskāli neitrālu dižpasākumu kritērijiem, tādējādi ietverot sasaisti starp protokollēmuma projektā un informatīvajā ziņojumā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iesniegt Valsts kancelejā Ministru prezidenta 2022. gada 13. jūlija rīkojuma Nr. 2022/1.2.1.-225 "Par rīcības komitejas izveidi 2025. gada Eiropas čempionāta finālturnīra basketbolā vīriešiem (FIBA EuroBasket 2025) organizēšanas uzraudzībai" un Ministru prezidenta 2022. gada 1. septembra rīkojuma Nr. 2022/1.2.1.-269 "Par rīcības komitejas izveidi 2024. gada FIA Pasaules rallija čempionāta (WRC) posma organizēšanas uzraudzībai" grozījumus, precizējot abu rīcības komiteju sastāvus, iekļaujot tajos ekonomikas ministru kā otru komiteju vadītāju.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uzdevumu nepārprotamai izpildei noteikt termiņus, kādos uzdevumi ir izpildāmi (sk., piemēram, protokollēmuma projekta 4. un 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 (Latvijas Investīciju un attīstības aģentūrai) sadarbībā ar atbildīgās jomas ministriju sagatavo informatīvo ziņojumu par katru jaunu dižpasākumu, iekļaujot dižpasākuma aprakstu, tai skaitā: būtība, auditorija, plānotais periods, ārvalstu dalībnieku un apmeklētāju skaits u.c., un ekonomikas ministram virzīt konceptuālai apstiprināšanai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protokollēmuma projekta 5. punktu, to noformulējot kā uzdevumu. Līdzīgi aicinām izvērtēt un, ja nepieciešams, precizēt arī citus 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Ekonomikas ministrija (Latvijas Investīciju un attīstības aģentūra) sadarbībā ar atbildīgās jomas ministriju sagatavo informatīvo ziņojumu par katru jaunu dižpasākumu, kas kvalificējas fiskāli neitrāla dižpasākuma kritērijiem, un Ekonomikas ministrija virza apstiprināšanai MK par finansējuma piešķiršanu/aprobācijas pieprasījumu, kas nodrošina organizatoram tiesības piedalīties konkursā un garantē atbalstu pasākuma piesaistei atbalsta aktivitātēm līdz 70% apmērā no plānotajiem/faktiskajiem PVN ieņēmumiem.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uzdevumu izpildi, aicinām protokollēmuma projektā un informatīvajā ziņojumā simbolu „/” aizstāt ar saikli „un” vai saikli „vai”, lai būtu nepārprotami skaidrs, vai ar simbolu „/” tiek saprasts saiklis „un” vai saiklis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Ekonomikas ministrija (Latvijas Investīciju un attīstības aģentūra) sadarbībā ar atbildīgās jomas ministriju sagatavo informatīvo ziņojumu par katru jaunu dižpasākumu, kas kvalificējas fiskāli neitrāla dižpasākuma kritērijiem, un Ekonomikas ministrija virza apstiprināšanai MK par finansējuma piešķiršanu/aprobācijas pieprasījumu, kas nodrošina organizatoram tiesības piedalīties konkursā un garantē atbalstu pasākuma piesaistei atbalsta aktivitātēm līdz 70% apmērā no plānotajiem/faktiskajiem PVN ieņēmumiem.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nelietot abreviatūras "MK" u.tml. protokollēmuma projektā, tā vietā izmantojot pilnu nesaīsinātu vārdkopu.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Ekonomikas ministrija (Latvijas Investīciju un attīstības aģentūra) sadarbībā ar atbildīgās jomas ministriju sagatavo informatīvo ziņojumu par katru jaunu dižpasākumu, kas kvalificējas fiskāli neitrāla dižpasākuma kritērijiem, un Ekonomikas ministrija virza apstiprināšanai MK par finansējuma piešķiršanu/aprobācijas pieprasījumu, kas nodrošina organizatoram tiesības piedalīties konkursā un garantē atbalstu pasākuma piesaistei atbalsta aktivitātēm līdz 70% apmērā no plānotajiem/faktiskajiem PVN ieņēmumiem.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protokollēmuma projektā minētos uzdevumus (sk., piemēram, 6. punktu) un tos atbilstoši precizēt, ņemot vērā, ka ministrijas, īpašu uzdevumu ministra sekretariāta, Ministru prezidenta biedra biroja, Valsts kancelejas vai Ministru prezidenta padotībā esošas iestādes izstrādāto projektu izskatīšanai Ministru kabineta komitejas sēdē vai Ministru kabineta sēdē ir tiesīgs iesniegt </w:t>
            </w:r>
            <w:r w:rsidR="00000000" w:rsidRPr="00000000" w:rsidDel="00000000">
              <w:rPr>
                <w:u w:val="single"/>
                <w:rtl w:val="0"/>
              </w:rPr>
              <w:t xml:space="preserve">Ministru kabineta loceklis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23-TA-1960</w:t>
    </w:r>
    <w:r>
      <w:br/>
    </w:r>
    <w:r w:rsidR="00000000" w:rsidRPr="00000000" w:rsidDel="00000000">
      <w:rPr>
        <w:rtl w:val="0"/>
      </w:rPr>
      <w:t xml:space="preserve">Izdrukāts 18.09.2023. 12.15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23-TA-1960</w:t>
    </w:r>
    <w:r>
      <w:br/>
    </w:r>
    <w:r w:rsidR="00000000" w:rsidRPr="00000000" w:rsidDel="00000000">
      <w:rPr>
        <w:rtl w:val="0"/>
      </w:rPr>
      <w:t xml:space="preserve">Izdrukāts 18.09.2023. 12.15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Atzinumi_23-TA-1960.docx</dc:title>
</cp:coreProperties>
</file>

<file path=docProps/custom.xml><?xml version="1.0" encoding="utf-8"?>
<Properties xmlns="http://schemas.openxmlformats.org/officeDocument/2006/custom-properties" xmlns:vt="http://schemas.openxmlformats.org/officeDocument/2006/docPropsVTypes"/>
</file>