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jauniem ceļiem Rail Baltica projekta īstenošanas rezultātā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secinajuma sadaļas 3 punkta redakciju,kas paredz,  pašvaldībām tikai vienreizēju kompensāciju saistībā ar valsts ceļu pārņemšanu. Vēršam uzmanību uz to ,ka ar  pašvaldībām  nav  notikušas sarunas par Rail Baltica projekta īstenošanas laikā no jauna uzbūvēto ceļu, tiltu, pārvadu un dzīvnieku pāreju pārņemšanu pašvaldības īpašumā un/vai apsaimniekošanā.LPS  uzskata, ka, lai uzsāktu šāda veida sarunas, jābūt skaidri definētiem nosacījumiem un noteikumiem uz kādiem pašvaldība pārņem jaunos infrastruktūras objektus, paredzot ikgadēju finansējumu ilgterminā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secinājuma  3 punkta jāparedz, ka  Valsts kā Rail Baltica projekta īstenošanas rezultātā izveidotās infrastruktūras īpašnieks  varētu pašvaldības nozīmes ceļus nodot pašvaldībai, palielina ikgadējo mērķdotāciju apjoma bāzi pašvaldībām  par indikatīvi 442 218 eiro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informatīvajā ziņojumā paredzēto Satiksmes ministrijai nepieciešamo papildu finansējumu vienreizējas mērķdotācijas piešķiršanai Rail Baltica projekta ietvaros no jauna izbūvētajiem un pārņemtajiem pašvaldības nozīmes ceļa posmiem skatīt Ministru kabinetā 2024. gada valsts budžeta likumprojekta un vidēja termiņa budžeta ietvaru 2024., 2025. un 2026. gadam likumprojekta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punktā izslēdzams vārds "Vienreizējas"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27.10.2022.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27.10.2022.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Atzinumi_22-TA-2881.docx</dc:title>
</cp:coreProperties>
</file>

<file path=docProps/custom.xml><?xml version="1.0" encoding="utf-8"?>
<Properties xmlns="http://schemas.openxmlformats.org/officeDocument/2006/custom-properties" xmlns:vt="http://schemas.openxmlformats.org/officeDocument/2006/docPropsVTypes"/>
</file>