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Dabas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sektoram ir ļoti būtiska negatīvā ietekme uz klimata, bioloģiskās daudzveidības, ūdens ekosistēmu un citu vides mērķu sasniegšanu nacionālā un starptautiskā mērogā, savukārt Rīcības plānā šie izaicinājumi nav aplūkoti, kas nozīme, ka konkrētais politikas plānošanas dokuments var nonākt pretrunā ar citu Latvijas politikas plānošanas dokumentu izpildi. Dokumentu nepieciešams papildināt ar vides raksturlielumu izpildes nosacijumiem.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Politikas plānošanas dokumenta 25.lpp. minēts "</w:t>
            </w:r>
            <w:r w:rsidR="00000000" w:rsidRPr="00000000" w:rsidDel="00000000">
              <w:rPr>
                <w:i w:val="1"/>
                <w:rtl w:val="0"/>
              </w:rPr>
              <w:t xml:space="preserve">KLP ienākumu atbalsts nākotnē tiek paredzēts un ir novirzāms tikai saimniecībām, kas sniedz ieguldījumu pārtikas nodrošinājumā, tādēļ atbalsts (finansējums) vides saimniecībām par ieguldījumu vides mērķu sasniegšanā un zemes un ainavas uzturēšanā piešķirams no NRP plāna finansējuma, kas nav paredzēts KLP, vai valsts politikas iniciatīvām". </w:t>
            </w:r>
            <w:r w:rsidR="00000000" w:rsidRPr="00000000" w:rsidDel="00000000">
              <w:rPr>
                <w:rtl w:val="0"/>
              </w:rPr>
              <w:t xml:space="preserve">Šāds un cituviet politikas plānošanas dokumentā līdzīgs redzējums svītrojams. Izprotot, ka šodien īstenotā zemes resursu pārvaldība aptver ne tikai nozīmīgas tausaimniecības nozares ekonomikas jomā un sniedz ieguldījumus sociālās sistēmās, bet arī rada ļoti būtiskus dabas un vides kaitējumus un ir atbildīga par ietekmes uz vidi mazināšanu. Jo intensīvāka prakses attīstība tiek plānota, jo aizvien lielāki ieguldījumi būs nepieciešami dabas un vides jomās. Nepieciešama plaša diskusija par turpmāko finanšu atbalstu, avotiem bioloģiskās daudzveidības aizsardzībā un vides mērķu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Rozītis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06.05.2026. 23.57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