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749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saskata būtisku izaicinājumu saistībā ar projekta īstenošanai paredzēto resursu nodrošinājumu. Noteikumu projektā ir minēta BKUS MVC loma metodikas izstrādē, ieviešanā un koordinēšanā, bet nav skaidri definēts finansējuma apmērs un avots minēto darbību veikšanai. Vēršam uzmanību, ka BKUS MVC darbojas atbilstoši Veselības ministrijas deleģētajiem uzdevumiem. Iepazīstoties ar noteikuma projekta anotācijā minēto informāciju, secināms, ka BKUS MVC tiek plānoti papildu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konkrētā projekta plašo mērogu un iespējamo stratēģisko ietekmi uz esošo veselības aprūpes sistēmu, kā arī to, ka BKUS MVC tiek minēts kā sadarbības partneris, Veselības ministrijas skatījumā ir būtiski iezīmēt un nodrošināt papildu finansējumu konkrēti metodiskās koordinācijas, apmācību, kvalitātes kontroles un ieviešanas uzraudzības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sākotnējai iecerei projektā paredzētie sabiedrībā balstītie pakalpojumi bija plānoti ārpus ārstniecības iestādēm, ar mērķi tos tuvināt sabiedrībai, vienlaikus mazinot stigmu un veicinot pakalpojumu pieejamību. Ņemot vērā noteikumu projekta anotācijā minēto, plānotais risinājums paredz pakalpojumu attīstību tikai pašvaldību vai valsts ārstniecības iestāžu telpās. Šāds risinājums var veicināt stigmu un neatbilst integrēta pakalpojuma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Korņenkova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10.07.2025.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10.07.2025.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Atzinumi_25-TA-1092.docx</dc:title>
</cp:coreProperties>
</file>

<file path=docProps/custom.xml><?xml version="1.0" encoding="utf-8"?>
<Properties xmlns="http://schemas.openxmlformats.org/officeDocument/2006/custom-properties" xmlns:vt="http://schemas.openxmlformats.org/officeDocument/2006/docPropsVTypes"/>
</file>