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26-TA-383: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13. janvāra ielā 15 un Kalēju ielā 68,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 kartīte)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(Pārjaunojuma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(Būves tehniskās inventarizācijas lieta)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informāciju par noslēgtajiem nomas līgumiem par nekustamo īpašumu ar kadastra Nr. 0100 003 0086.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Tā kā nomas līgumi nav ierakstīti zemesgrāmatā, atbilstoši Civillikuma 2126. pantam nomnieki nav ieguvuši lietu tiesību, kas būtu saistoša trešajām personām. Tomēr, ievērojot Civillikuma 2174. panta regulējumu un Latvijas Republikas Augstākās tiesas Civillietu departamenta 2020. gada 30. marta spriedumu lietā Nr. SKC-20/2020, kurā ir atzīts, ka nekustamā īpašuma atsavināšana pati par sevi neizbeidz zemesgrāmatā neierakstītu nomas līgumu. Jaunajam ieguvējam šāds līgums ir saistošs līdz brīdim, kad tas tiek uzteikts, nodrošinot nomniekam piemērotu laiku objekta atdošanai. Vienlaikus jāņem vērā, ka priekšlaicīgas līguma izbeigšanas gadījumā iepriekšējam iznomātājam rodas pienākums atlīdzināt nomniekam visus radītos zaudējumus. Tādējādi norādām, ka anotācijā ir nepieciešams veikt minētās situācijas izvērtējumu gadījumā, ja nekustamā īpašuma ieguvējs izmanto nomas līguma uzteikuma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atbilstību likuma “Par kultūras pieminekļu aizsardzību” 8. 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likuma “Par kultūras pieminekļu aizsardzību” 8. panta trešajai daļai </w:t>
            </w:r>
            <w:r w:rsidR="00000000" w:rsidRPr="00000000" w:rsidDel="00000000">
              <w:rPr>
                <w:u w:val="single"/>
                <w:rtl w:val="0"/>
              </w:rPr>
              <w:t xml:space="preserve">valsts un reģiona nozīmes kultūras pieminekli var atsavināt, ja par šādu nodomu īpašnieks ir paziņojis Nacionālajai kultūras mantojuma pārvaldei</w:t>
            </w:r>
            <w:r w:rsidR="00000000" w:rsidRPr="00000000" w:rsidDel="00000000">
              <w:rPr>
                <w:rtl w:val="0"/>
              </w:rPr>
              <w:t xml:space="preserve">, bet attiecībā uz vietējās nozīmes kultūras pieminekli — pašvaldībai un ja nākamais tā īpašnieks ir iepazinies ar norādījumiem par šā kultūras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nekustamais īpašums ar kadastra Nr. 0100 003 0086 ir valsts nozīmes piemineklis. No tiesību akta pievienotajiem dokumentiem un anotācijas nav iespējams secināt vai Nacionālā kultūras mantojuma pārvalde ir informēta par nekustamā īpašuma ar kadastra Nr. 0100 003 0086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norādot konkrētu atsauci uz normatīvajiem aktiem, kas nekustamā īpašuma īpašniekam pēc tā iegūšanas būs saistoši.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Nekustamā īpašuma valsts kadastra informācijas sistēmas datiem nekustamajam īpašumam ar kadastra Nr. 0100 003 0086 ir reģistrēti vairāki apgrūtinājumi. Piemēram, nekustamais īpašums atrodas aizsargjoslu teritorijā un tas ir valsts nozīmes arheoloģiskais un pilsētbūvniecības piemineklis, kā arī kultūras piemineklis, kas atbilstoši UNESCO Konvencijai par pasaules kultūras un dabas mantojuma aizsardzību iekļauts pasaules kultūras un dabas mantojuma objektu sarakstā. Līdz ar to anotācijā ir nepieciešams precīzi norādīt, ka nekustamā īpašuma īpašniekam, ievērojot nekustamajam īpašumam noteiktos apgrūtinājumus, būs saistoša Aizsargjoslu likumā un likumā “Par kultūras pieminekļu aizsardzību” noteiktā kārtība rīcībai ar nekustamo īpašumu.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26-TA-383</w:t>
    </w:r>
    <w:r>
      <w:br/>
    </w:r>
    <w:r w:rsidR="00000000" w:rsidRPr="00000000" w:rsidDel="00000000">
      <w:rPr>
        <w:rtl w:val="0"/>
      </w:rPr>
      <w:t xml:space="preserve">Izdrukāts 20.03.2026.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26-TA-383</w:t>
    </w:r>
    <w:r>
      <w:br/>
    </w:r>
    <w:r w:rsidR="00000000" w:rsidRPr="00000000" w:rsidDel="00000000">
      <w:rPr>
        <w:rtl w:val="0"/>
      </w:rPr>
      <w:t xml:space="preserve">Izdrukāts 20.03.2026.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Atzinumi_26-TA-383.docx</dc:title>
</cp:coreProperties>
</file>

<file path=docProps/custom.xml><?xml version="1.0" encoding="utf-8"?>
<Properties xmlns="http://schemas.openxmlformats.org/officeDocument/2006/custom-properties" xmlns:vt="http://schemas.openxmlformats.org/officeDocument/2006/docPropsVTypes"/>
</file>