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ir plānota publisko līdzekļu piešķiršana saimnieciskās darbības veicējiem pētniecībai, attiecīgais pasākums ir jāvērtē komercdarbības atbalsta kontekstā un gadījumā, ja vienlaikus izpildās visas Komercdarbības atbalsta kontroles likuma (turpmāk – KAKL) 5.pantā noteiktās komercdarbības atbalsta pazīmes, publisko līdzekļu piešķiršanā būtu jāpiemēro atbilstošs komercdarbības atbalsta regulējums, piemēram, Komisijas 2014.gada 17.jūnija Regula (ES) Nr.651/2014, ar ko noteiktas atbalsta kategorijas atzīst par saderīgām ar iekšējo tirgu, piemērojot Līguma 107. un 108. pantu vai Komisijas paziņojums “Pētniecībai, izstrādei un inovācijai piešķiramā valsts atbalsta nostādnes” (2022/C 414/01).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lai nodrošinātu, ka atbalsta pretendentam ir skaidri visi komercdarbības atbalsta piešķiršanas nosacījumi, aicinām noteikumu projektā iekļaut visus ar komercdarbības atbalsta piešķiršanu, kur attiecināms, saistītos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saskaņā ar KAKL 9.panta otrajā daļā noteiktajām kompetencēm, Zemkopības ministrija veic plānoto atbalsta programmu vai ad-hoc atbalsta projektu, vai to plānoto grozījumu sākotnējo izvērtēšanu zvejniecības, akvakultūras, lauksaimniecības un mežsaimniecības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24.09.2025.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24.09.2025.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