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sadarbības tīkls – finansējuma saņēmējs, kas ir biedrība vai nodibinājums, kas apvieno sadarbības tīkla dalībniekus, kuras darbojas savstarpēji saistītās nozarēs, tautsaimniecības nišās, produkta vai pakalpojuma grupās, vērtības ķēdēs vai reģionā, specializējoties kādā no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minētajām Viedās specializācijas stratēģijas (RIS3)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atstāta norma, ka pašam Sadarbības tīklam ir jāspecializējās kādā no RIS 3 jomām, tad ir jāparedz formulējums, kas nosaka, ka Sadarbības tīkls pats specializējas vienā vai vairākās RIS 3 jomās.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sadarbības tīkls – finansējuma saņēmējs, kas ir biedrība vai nodibinājums, kas apvieno sadarbības tīkla dalībniekus, kuras darbojas savstarpēji saistītās nozarēs, tautsaimniecības nišās, produkta vai pakalpojuma grupās, vērtības ķēdēs vai reģionā, specializējoties kādā</w:t>
            </w:r>
            <w:r w:rsidR="00000000" w:rsidRPr="00000000" w:rsidDel="00000000">
              <w:rPr>
                <w:b w:val="1"/>
                <w:u w:val="single"/>
                <w:rtl w:val="0"/>
              </w:rPr>
              <w:t xml:space="preserve">/-ās</w:t>
            </w:r>
            <w:r w:rsidR="00000000" w:rsidRPr="00000000" w:rsidDel="00000000">
              <w:rPr>
                <w:rtl w:val="0"/>
              </w:rPr>
              <w:t xml:space="preserve"> no šo noteikumu 24. punktā minētajām Viedās specializācijas stratēģijas (RIS3)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tas darbojas vismaz vienā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 RIS3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ka šajā punktā ir jāparedz, ka Sadarbības tīkls var darboties un īstenot projektu vairākās RIS 3 jomās.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tas darbojas </w:t>
            </w:r>
            <w:r w:rsidR="00000000" w:rsidRPr="00000000" w:rsidDel="00000000">
              <w:rPr>
                <w:u w:val="single"/>
                <w:rtl w:val="0"/>
              </w:rPr>
              <w:t xml:space="preserve">vienā vai vairākās</w:t>
            </w:r>
            <w:r w:rsidR="00000000" w:rsidRPr="00000000" w:rsidDel="00000000">
              <w:rPr>
                <w:rtl w:val="0"/>
              </w:rPr>
              <w:t xml:space="preserve"> šo noteikumu 24. punktā minētajā RIS3 jomā</w:t>
            </w:r>
            <w:r w:rsidR="00000000" w:rsidRPr="00000000" w:rsidDel="00000000">
              <w:rPr>
                <w:u w:val="single"/>
                <w:rtl w:val="0"/>
              </w:rPr>
              <w:t xml:space="preserve">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Pasākuma ietvaros finansējumu piešķir projekta iesniedzējam, kas darbojas kādā no šīm RIS3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punktu, paredzot, ka projekta iesniedzējs darbojās vienā vai vairākās RIS3 jomās.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Pasākuma ietvaros finansējumu piešķir projekta iesniedzējam, kas darbojas </w:t>
            </w:r>
            <w:r w:rsidR="00000000" w:rsidRPr="00000000" w:rsidDel="00000000">
              <w:rPr>
                <w:u w:val="single"/>
                <w:rtl w:val="0"/>
              </w:rPr>
              <w:t xml:space="preserve">vienā vai vairākās RIS3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Vienkāršoto izmaksu vienotā izmaksu likme šo noteikumu </w:t>
            </w:r>
            <w:r w:rsidR="00000000" w:rsidRPr="00000000" w:rsidDel="00000000">
              <w:rPr>
                <w:rtl w:val="0"/>
              </w:rPr>
              <w:t xml:space="preserve">30.1.1.</w:t>
            </w:r>
            <w:r w:rsidR="00000000" w:rsidRPr="00000000" w:rsidDel="00000000">
              <w:rPr>
                <w:rtl w:val="0"/>
              </w:rPr>
              <w:t xml:space="preserve"> un </w:t>
            </w:r>
            <w:r w:rsidR="00000000" w:rsidRPr="00000000" w:rsidDel="00000000">
              <w:rPr>
                <w:rtl w:val="0"/>
              </w:rPr>
              <w:t xml:space="preserve">30.1.3.</w:t>
            </w:r>
            <w:r w:rsidR="00000000" w:rsidRPr="00000000" w:rsidDel="00000000">
              <w:rPr>
                <w:rtl w:val="0"/>
              </w:rPr>
              <w:t xml:space="preserve"> apakšpunktā minētajām personāla atlīdzības izmaksām ir 20 procentu no pārējām tiešajām attiecināmajām izmaksām, neieskaitot personāla izmaksas,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šajā punktā noteikto paredzamo atlīdzības izmaksu apjomu 20% apmērā un aicina noteikt to 35%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Vienkāršoto izmaksu vienotā izmaksu likme šo noteikumu 30.1.1. un 30.1.3. apakšpunktā minētajām personāla atlīdzības izmaksām ir </w:t>
            </w:r>
            <w:r w:rsidR="00000000" w:rsidRPr="00000000" w:rsidDel="00000000">
              <w:rPr>
                <w:u w:val="single"/>
                <w:rtl w:val="0"/>
              </w:rPr>
              <w:t xml:space="preserve">35</w:t>
            </w:r>
            <w:r w:rsidR="00000000" w:rsidRPr="00000000" w:rsidDel="00000000">
              <w:rPr>
                <w:rtl w:val="0"/>
              </w:rPr>
              <w:t xml:space="preserve"> procentu no pārējām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Sadarbības tīkls iesniedz vadības informācijas sistēmā par katru sadarbības tīkla dalībnieku vismaz reizi gadā kopā ar maksājuma pieprasījumu vai pēc atbildīgās iestādes pieprasījuma 10 darbdienu laikā iesniedz atbildīgajai iestādei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šajā punktā paredzētai prasībai par biežumu un termiņu datu iesniegšanai, kas nozīmē papildus adminsitratīvo slogu projektu īstenotājiem. Aicinām precizēt normu līdzvērtīgi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noteikumu 60.punktam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Sadarbības tīkls uzkrāj un reizi gadā vadības informācijas sistēmā iesniedz šādu ar viedās specializācijas jomu saistītu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45.12. katrā no RIS3 jomām sadalījumā pa sadarbības tīkla dalībnieku veidiem šādus RIS3 rādītājus: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ka šādi dati būtu jāiesniedz sadalījumā pa veidiem (pieņemot, ka ar to ir domāts uzņēmuma lielums), jo tā kā šajā 45.12.punktā uzskaitītie dati nav tieši saistīti ar investīcijas iznākuma un nacionālo rādītāju sasniegšanu (un uzkrājamo informāciju to sasniegšanas nodrošināšanai), tiem būtu jābūt iesniedzamiem pēc iespējas vienkāršākā formā, ņemot vērā faktisko situāciju (ja šāda informācija ir pieejama).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Sadarbības tīkls šo noteikumu </w:t>
            </w:r>
            <w:r w:rsidR="00000000" w:rsidRPr="00000000" w:rsidDel="00000000">
              <w:rPr>
                <w:rtl w:val="0"/>
              </w:rPr>
              <w:t xml:space="preserve">45. </w:t>
            </w:r>
            <w:r w:rsidR="00000000" w:rsidRPr="00000000" w:rsidDel="00000000">
              <w:rPr>
                <w:rtl w:val="0"/>
              </w:rPr>
              <w:t xml:space="preserve">punktā</w:t>
            </w:r>
            <w:r w:rsidR="00000000" w:rsidRPr="00000000" w:rsidDel="00000000">
              <w:rPr>
                <w:rtl w:val="0"/>
              </w:rPr>
              <w:t xml:space="preserve"> minēto informāciju, papildus norādot sadarbības tīkla dalībnieka reģistrācijas numuru, iesniedz Vadības informācijas sistēmā kopā ar maksājuma pieprasījumu vai 10 darbdienu laikā pēc atbildīgās iestādes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šajā punktā paredzētai prasībai par biežumu un termiņu datu iesniegšanai, kas nozīmē papildus adminsitratīvo slogu projektu īstenotājiem. Aicinām precizēt normu līdzvērtīgi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noteikumu 60.punktam.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46.60. Sadarbības tīkls šo noteikumu 45. punktā minēto informāciju, papildus norādot sadarbības tīkla dalībnieka reģistrācijas numuru, uzkrāj un reizi gadā kopā ar maksājuma pieprasījumu iesniedz vadības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Pasākuma ietvaros sadarbības tīkla dalībnieki var mainīties, nodrošinot šo noteikumu </w:t>
            </w:r>
            <w:r w:rsidR="00000000" w:rsidRPr="00000000" w:rsidDel="00000000">
              <w:rPr>
                <w:rtl w:val="0"/>
              </w:rPr>
              <w:t xml:space="preserve">53.3. </w:t>
            </w:r>
            <w:r w:rsidR="00000000" w:rsidRPr="00000000" w:rsidDel="00000000">
              <w:rPr>
                <w:rtl w:val="0"/>
              </w:rPr>
              <w:t xml:space="preserve">apakšpunktā</w:t>
            </w:r>
            <w:r w:rsidR="00000000" w:rsidRPr="00000000" w:rsidDel="00000000">
              <w:rPr>
                <w:rtl w:val="0"/>
              </w:rPr>
              <w:t xml:space="preserve"> minētā nosacījuma izpildi, bet projekta īstenošanas laikā sadarbības tīkla dalībnieku izstāšanās skaits nedrīkst būt lielāks par 50 % no projekta iesniegumā norādītajiem sadarbības tīkla dalībniekiem.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šāda punkta redakciju, jo nav loģisks, saprotams. Ierosinām noteikt šo līdzvērtīgi kā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noteikumos:  Projekta ietvaros sadarbības tīkla dalībnieki var mainīties, kā arī sadarbības tīkls var pieaicināt jaunus sadarbības tīkla dalībniekus, ievērojot šo noteikumu  56.4.2. apakšpunktā.punktā minēto nosacījumu. =&gt; Viens no Sadarbības tīkla pienākumiem ir =&gt;  56.4.2. nodrošināt, ka visā projekta īstenošanas laikā tas pārstāv ne mazāk kā 30 savstarpēji nesaistītus sadarbības tīkla dalībniekus, neskaitot pētniecības un zināšanu izplatīšanas organizācijas.)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53.9. pēc atbildīgās iestādes vai sadarbības iestādes pieprasījuma sniegt informāciju un pamatojošos dokumentus par projektu ieviešanas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precizēt šo punktu un, iespējams, apvienot ar 53.7.punktu, skaidrojot, kāda vēl informācija varētu tikt pieprasīta, ja projekta īstenošanas nosacījumi paredz noteiktu kārtību gan maksājumu pieprasījumu iesniegšanai, gan noteiktas publicitātes nodrošināšanai par projekta gaitu. Šāds punkts var radīt risku par papildus nevajadzīgu slogu projektu īstenotājiem.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53.15. protokolēt lēmuma pieņemšanu par atbalsta piešķiršanu sadarbības tīkla dalībniekam;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šo punktu, jo radītu nevajadzīgu papildus administratīvo slogu projektu īstenotājiem. Gan MK noteikumi, gan sadarbības tīklu izstrādātās de minimis piešķiršanas kārtības jau paredzēs noteiktu mehānismu datu pārbaudei, kā arī pats lēmums par de minimis piešķiršanu jau ir apliecinošs un pamatojošs dokuments.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Sadarbības tīkla dalībnieks līdz ar projekta pieteikuma iesniegšanu apliecina, ka saņemtais atbalsts tiks vērsts uz eksporta apjoma un produktivitātes kāpināšanu sadarbības tīkla dalībnieku līmenī piecu gadu laikā pēc sadarbības tīkla dalībnieku noslēguma pārskata iesniegšanas.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šāda punkta redakciju, jo rada papildus administratīvo slogu projekta īstenotājiem. Dalībniekam iesaistoties projektā pēc būtības ir iespējas saņemt atbalstu, kas ir vērsts uz eksporta apjoma un produktivitātes kāpināšanu, kas arī būs saskaņā ar darbības plāniem. Papildus tam jāatzīmē, ka minētais formulējums nav loģisks, jo nav iespējams likt sadarbības tīkla dalībnieka arī pēc projekta īstenošanas vēl kādas papildus saistību uzņemšanos. Nav arī skaidrs, kas ir domāts "sadarbības tīkla dalībnieka noslēguma pārskats".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Sadarbības tīkls pēc sadarbības tīkla dalībnieka noslēguma pārskata iesniegšanas un piecus gadus pēc tam pārbauda sadarbības tīkla dalībnieka eksporta apjoma un produktivitātes pieaugumu.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šāda punkta redakciju, jo rada papildus administratīvo slogu projekta īstenotājiem. Šādai informācijas uzkrāšanai/apkopošanai ir jābūt ar minimāli ietekmi uz administratīvo slogu, īpaši pēc projekta noslēgšanās. Īpaši attiecībā uz produktivitāti ir jāmin, ka šis termins / rādītājs nav viennozīmīgs un var radīt būtisku slogu.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arī skaidrs, kas ir domāts "sadarbības tīkla dalībnieka noslēguma pārskats".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anotācijā minētajam, ka Sadarbības tīkls nedrīkst vienlaicīgi īstenot projektu šī pasākuma ietvaros un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atbalsta programmu saturs un mērķi ir līdzvērtīgi, šī programma var sniegt būtisku pozitīvu ietekmi arī jau īstenošanā esošiem Sadarbības tīkliem 5.1.1.r.reformas ietvaros, gan ļaujot piesaistīt papildus dalībniekus, gan palielināt īstenojamo aktivitāšu apjomu, kā arī tās dažādojot. Šis 1.2.1.1. pasākuma MK noteikumu projekts (70.punkts) arī paredz, ka Sadarbības tīkla dalībnieks de minimis atbalstu drīkst kumulēt ar citu de minimis atbalstu, līdzīgi var tikt nodrošināts arī Sadarbības tīklam. Tāpat būtiski, ka šo abu investīciju programmas paredz atbalstu, piemēram, identiskām aktivitātēm, kādas īsteno LIAA un kas ir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1.2.1.1.pasākuma atlase ir plānota 2025.gada sākumā, bet 5.1.1.reformas ietvaros Sadarbības tīkli var īstenot aktivitātes līdz 2026.gada 30.jūnijam, ir jābūt iespējai nodrošināt, ka konkrēto laika periodu ir iespējams īstenot abas iniciatīvas, tajā pašā laikā nodrošinot aktivitāšu un izmaksu nepārklāšanos.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līdz 2024.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termiņu, ņemot vērā, ka saskaņā ar Anotāciju projektu iesniegumu atlase MK noteikumu ietvaros tiks uzsākta 2025. gada I ceturksnī.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tā dalībnieku, neskaitot pētniecības un zināšanu izplatīšanas organizācijas un valsts kapitālsabiedrības, vidējais apgrozījums pēdējo triju noslēgto finanšu gadu laikā līdz projekta iesnieguma iesniegšanai ir ne mazāks kā 40 miljoni </w:t>
            </w:r>
            <w:r w:rsidR="00000000" w:rsidRPr="00000000" w:rsidDel="00000000">
              <w:rPr>
                <w:i w:val="1"/>
                <w:rtl w:val="0"/>
              </w:rPr>
              <w:t xml:space="preserve">euro </w:t>
            </w:r>
            <w:r w:rsidR="00000000" w:rsidRPr="00000000" w:rsidDel="00000000">
              <w:rPr>
                <w:rtl w:val="0"/>
              </w:rPr>
              <w:t xml:space="preserve">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Jādzēš punkts, jo attiecas uz projekta iesniegšanas brīdi, nevis rādītāju sasniegšanu ("...pēdējo triju noslēgto finanšu gadu laikā </w:t>
            </w:r>
            <w:r w:rsidR="00000000" w:rsidRPr="00000000" w:rsidDel="00000000">
              <w:rPr>
                <w:u w:val="single"/>
                <w:rtl w:val="0"/>
              </w:rPr>
              <w:t xml:space="preserve">līdz projekta iesnieguma iesniegšanai </w:t>
            </w:r>
            <w:r w:rsidR="00000000" w:rsidRPr="00000000" w:rsidDel="00000000">
              <w:rPr>
                <w:rtl w:val="0"/>
              </w:rPr>
              <w:t xml:space="preserve">ir ne mazāks kā 40 miljoni euro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darbības plānu atbilstoši šo noteikumu </w:t>
            </w:r>
            <w:r w:rsidR="00000000" w:rsidRPr="00000000" w:rsidDel="00000000">
              <w:rPr>
                <w:rtl w:val="0"/>
              </w:rPr>
              <w:t xml:space="preserve">1. </w:t>
            </w:r>
            <w:r w:rsidR="00000000" w:rsidRPr="00000000" w:rsidDel="00000000">
              <w:rPr>
                <w:rtl w:val="0"/>
              </w:rPr>
              <w:t xml:space="preserve">pielikumam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22.1.punktā minētais Darbības plāns ir par pirmo kalendāro gadu, ņemot vērā punktus 23., 29.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28.6.1. konsultāciju saņemšana par dalību tādās programmās kā "Apvārsnis Eiropa", "Digitālā Eiropa", "Eiropas Kodolpētījumu organizācija", "Eiropas Kosmosa aģentūra" un līdzīgās Eiropas Savienības līmeņa sadarbības veicināšanas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papildināt iespējamo programmu uzskaitījumu, iekļaujot arī NATO līmeņa iniciatīvas (kas ietvertu, piemēram, arī NATO Inovāciju fondu).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28.6.1. konsultāciju saņemšana par dalību tādās programmās kā "Apvārsnis Eiropa", "Digitālā Eiropa", "Eiropas Kodolpētījumu organizācija", "Eiropas Kosmosa aģentūra" un līdzīgās Eiropas Savienības </w:t>
            </w:r>
            <w:r w:rsidR="00000000" w:rsidRPr="00000000" w:rsidDel="00000000">
              <w:rPr>
                <w:u w:val="single"/>
                <w:rtl w:val="0"/>
              </w:rPr>
              <w:t xml:space="preserve">un NATO</w:t>
            </w:r>
            <w:r w:rsidR="00000000" w:rsidRPr="00000000" w:rsidDel="00000000">
              <w:rPr>
                <w:rtl w:val="0"/>
              </w:rPr>
              <w:t xml:space="preserve"> līmeņa sadarbības veicināšanas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28.6.2. pārstāvniecības nodrošināšana tādās programmās kā "Apvārsnis Eiropa", "Digitālā Eiropa", "Eiropas Kodolpētījumu organizācija", "Eiropas Kosmosa aģentūra" un līdzīgās Eiropas Savienības līmeņa sadarbības veicināšanas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papildināt iespējamo programmu uzskaitījumu, iekļaujot arī NATO līmeņa iniciatīvas (kas ietvertu, piemēram, arī NATO Inovāciju fondu).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28.6.2. pārstāvniecības nodrošināšana tādās programmās kā "Apvārsnis Eiropa", "Digitālā Eiropa", "Eiropas Kodolpētījumu organizācija", "Eiropas Kosmosa aģentūra" un līdzīgās Eiropas Savienības </w:t>
            </w:r>
            <w:r w:rsidR="00000000" w:rsidRPr="00000000" w:rsidDel="00000000">
              <w:rPr>
                <w:u w:val="single"/>
                <w:rtl w:val="0"/>
              </w:rPr>
              <w:t xml:space="preserve">un NATO</w:t>
            </w:r>
            <w:r w:rsidR="00000000" w:rsidRPr="00000000" w:rsidDel="00000000">
              <w:rPr>
                <w:rtl w:val="0"/>
              </w:rPr>
              <w:t xml:space="preserve"> līmeņa sadarbības veicināšanas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28.6.3. konsultāciju saņemšana par projektu pieteikumu sagatavošanu un projektu pieteikumu sagatavošana tādās programmās kā "Apvārsnis Eiropa", "Digitālā Eiropa", "Eiropas Kodolpētījumu organizācija", "Eiropas Kosmosa aģentūra" un līdzīgās Eiropas Savienības līmeņa sadarbības veicināšanas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papildināt iespējamo programmu uzskaitījumu, iekļaujot arī NATO līmeņa iniciatīvas (kas ietvertu, piemēram, arī NATO Inovāciju fondu).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28.6.3. konsultāciju saņemšana par projektu pieteikumu sagatavošanu un projektu pieteikumu sagatavošana tādās programmās kā "Apvārsnis Eiropa", "Digitālā Eiropa", "Eiropas Kodolpētījumu organizācija", "Eiropas Kosmosa aģentūra" un līdzīgās Eiropas Savienības </w:t>
            </w:r>
            <w:r w:rsidR="00000000" w:rsidRPr="00000000" w:rsidDel="00000000">
              <w:rPr>
                <w:u w:val="single"/>
                <w:rtl w:val="0"/>
              </w:rPr>
              <w:t xml:space="preserve">un NATO</w:t>
            </w:r>
            <w:r w:rsidR="00000000" w:rsidRPr="00000000" w:rsidDel="00000000">
              <w:rPr>
                <w:rtl w:val="0"/>
              </w:rPr>
              <w:t xml:space="preserve"> līmeņa sadarbības veicināšanas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30.2.1. ārējo pakalpojumu izmaksas – starptautisku inovāciju programmu projektu pieteikumu izstrāde un konsultācijas, testēšanas un izstrādes, tulkošanas pakalpojumi, kurus sadarbības tīkla dalībnieks iepērk no trešajām personām, ja attiecīgie pakalpojumi tiek izmantoti sadarbības tīkla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paredzēt atbalstu ne tikai inovāciju, bet arī attīstības projektiem, kas tieši var ietekmēt programmas mērķa un rezultātu sasniegšanu - internacionalizāciju un eksporta pieaugumu Sadarbības tīkla dalībniekiem. Drošības un aizsardzības jomā ir iniciatīvas (piemēram, sadarbības ar NATO aģentūrām, Eiropas Aizsardzības aģentūru), kur uzsvars var nebūt tieši uz inovāciju projektiem, bet attīstību, konsorciju veidošanu un integrēšanos globālajās piegādes ķēdēs.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30.2.1. ārējo pakalpojumu izmaksas – starptautisku inovāciju </w:t>
            </w:r>
            <w:r w:rsidR="00000000" w:rsidRPr="00000000" w:rsidDel="00000000">
              <w:rPr>
                <w:u w:val="single"/>
                <w:rtl w:val="0"/>
              </w:rPr>
              <w:t xml:space="preserve">un attīstības</w:t>
            </w:r>
            <w:r w:rsidR="00000000" w:rsidRPr="00000000" w:rsidDel="00000000">
              <w:rPr>
                <w:rtl w:val="0"/>
              </w:rPr>
              <w:t xml:space="preserve"> programmu projektu pieteikumu izstrāde un konsultācijas, testēšanas un izstrādes, tulkošanas pakalpojumi, kurus sadarbības tīkla dalībnieks iepērk no trešajām personām, ja attiecīgie pakalpojumi tiek izmantoti sadarbības tīkla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Sadarbības tīkla dalībnieks, kurš nav pievienotās vērtības nodokļa maksātājs, var attiecināt pievienotās vērtības nodokļa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aicina papildināt punktu, paredzot, ka arī Sadarbības tīkls var attiecināt pievienotās vērtības nodokļa izmaksas, ja tās nevar atgūt likumā noteiktā kārtībā (nav pievienotās vērtības nodokļa maksātājs).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izmaksas par darbībām, kas radušās pirms projekta iesniedzējs iesniedzis projekta iesniegumu Vadības informācijas sistēmā, un jau pabeigtām darbībām. Darbu sākums ir brīdis, kas atbilst Komisijas regulas Nr. 651/2014 2. panta 23.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precizēt punktu, paredz</w:t>
            </w:r>
            <w:r w:rsidR="00000000" w:rsidRPr="00000000" w:rsidDel="00000000">
              <w:rPr>
                <w:u w:val="single"/>
                <w:rtl w:val="0"/>
              </w:rPr>
              <w:t xml:space="preserve">ot, ka saskaņā ar 30.1.2. punktā iekļautajām attiecināmajām izmaksām (30.1.2. projekta ietvaros veicamo darbību plānošanas.izmaksas) būtu nepieciešams, ka attiecināmo izmaksu periods ietver arī noteiktu laika posmu līdz projekta iesnieguma iesniegšanai</w:t>
            </w:r>
            <w:r w:rsidR="00000000" w:rsidRPr="00000000" w:rsidDel="00000000">
              <w:rPr>
                <w:rtl w:val="0"/>
              </w:rPr>
              <w:t xml:space="preserve">, ņemot vērā ka tieši plānošanas darbība tiek veikta projekta sagatavošanas laikā. Līdzvērtīga prakse bija Klasteru programmas ietvaros, kad izmaksu attiecināmības periods bija noteikts ar konkrētu datumu, nevis ar projekta iesniegšanas brīdi. Varētu tikt paredzētas noteiktas attiecināmo izmaksu pozīcijas, kas ir attiecināmas līdz projekta iesnieguma iesniegšanai (piemēram, jau iepriekš 30.1.2.punktā minētās plānošanas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45.10. atbalstu saņēmušo sadarbības tīkla dalībnieku eksporta apjomu, vienlaikus informējot vai eksporta apjoms atbalstītajos sadarbības tīkla dalībniekos sasniedz vismaz 10% piecu gadu laikā no sadarbības tīkla dalībnieku noslēgumu pārskata iesniegšanas;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izslēgt šo punktu, jo MK noteikumu 45.6.punkts jau nosaka eksporta datu iesniegšanu un tālāk minētais nav loģisks/nav izprotama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45.11. atbalstu saņēmušo sadarbības tīkla dalībnieku produktivitātes apjomu, vienlaikus informējot, vai produktivitātes apjoms atbalstītajos sadarbības tīkla dalībniekos sasniedz vismaz 10% piecu gadu laikā no sadarbības tīkla dalībnieku noslēgumu pārskata iesniegšanas;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ierosina dzēst šo punktu, jo nav izprotama šajā punktā minētās izpildes nepieciešamība saskaņā ar investīciju mērķi, iznākuma un nacionālajiem rādītājiem, kā arīnav skaidri izprotams uzskaitāmās informācijas saturs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53.2.1. plānoto maksājuma pieprasījumu iesniegšanas grafiku, paredzot, ka maksājuma pieprasījumi tiek iesniegti atbilstoši līgumam par projekta īstenošanu, bet ne biežāk kā divas reizes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 jo nav saprotams, kurā brīdī / kādā termiņš šie dokumenti ir jāiesniedz.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53.2.2. ne vēlāk kā 30 dienu laikā – iepirkumu plānu par visiem pasākuma ieviešanai plānotajiem iepirkumiem, kuru rīkošanai paredzēts piemērot publisko iepirkumu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 jo nav saprotams, no kura brīža 30 dienu laikā šis dokuments ir jāiesniedz.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53.8. ne retāk kā reizi ceturksnī tīmekļvietnē nodrošināt aktuālās informācijas ievietošanu par projekta īstenošanas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punktu, jo dublē 53.6.punktu.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22.03.2024. 21.19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22.03.2024. 21.19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