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iekļautais noteikumu projekta mērķis atšķiras no Noteikumu projektā iekļautā pasākuma mērķa. Aicinām saskaņot mērķu formulējumus.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paaugstināt inovatīvo komersantu īpatsvaru ekonomikā, sekmēt  uzņēmējdarbību, kas vērsta uz augstu pievienoto vērtību radīšanu vidēji augsto un augsto tehnoloģiju jomā un radošo industriju jomā, veicināt eksporta pieaugumu, vienlaikus sniedzot ieguldījumu Latvijas Viedās specializācijas stratēģijas mērķu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Ločmele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